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4"/>
          <w:szCs w:val="44"/>
        </w:rPr>
      </w:pPr>
      <w:r>
        <w:rPr>
          <w:rFonts w:hint="eastAsia" w:ascii="方正小标宋简体" w:hAnsi="黑体" w:eastAsia="方正小标宋简体" w:cs="黑体"/>
          <w:bCs/>
          <w:sz w:val="44"/>
          <w:szCs w:val="44"/>
        </w:rPr>
        <w:t>案例名称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黑体"/>
          <w:sz w:val="28"/>
          <w:szCs w:val="24"/>
        </w:rPr>
      </w:pPr>
      <w:r>
        <w:rPr>
          <w:rFonts w:hint="eastAsia" w:ascii="仿宋" w:hAnsi="仿宋" w:eastAsia="仿宋" w:cs="黑体"/>
          <w:sz w:val="28"/>
          <w:szCs w:val="24"/>
        </w:rPr>
        <w:t>XXX（</w:t>
      </w:r>
      <w:r>
        <w:rPr>
          <w:rFonts w:hint="eastAsia" w:ascii="仿宋" w:hAnsi="仿宋" w:eastAsia="仿宋" w:cs="黑体"/>
          <w:sz w:val="28"/>
          <w:szCs w:val="24"/>
          <w:lang w:eastAsia="zh-CN"/>
        </w:rPr>
        <w:t>学院</w:t>
      </w:r>
      <w:r>
        <w:rPr>
          <w:rFonts w:hint="eastAsia" w:ascii="仿宋" w:hAnsi="仿宋" w:eastAsia="仿宋" w:cs="黑体"/>
          <w:sz w:val="28"/>
          <w:szCs w:val="24"/>
        </w:rPr>
        <w:t>）  XXX（教师姓名）</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黑体"/>
          <w:sz w:val="28"/>
          <w:szCs w:val="24"/>
        </w:rPr>
      </w:pPr>
      <w:r>
        <w:rPr>
          <w:rFonts w:hint="eastAsia" w:ascii="仿宋_GB2312" w:hAnsi="仿宋_GB2312" w:eastAsia="仿宋_GB2312" w:cs="仿宋_GB2312"/>
          <w:color w:val="0000FF"/>
          <w:sz w:val="21"/>
          <w:szCs w:val="21"/>
          <w:lang w:eastAsia="zh-CN"/>
        </w:rPr>
        <w:t>（</w:t>
      </w:r>
      <w:r>
        <w:rPr>
          <w:rFonts w:hint="eastAsia" w:ascii="仿宋_GB2312" w:hAnsi="仿宋_GB2312" w:eastAsia="仿宋_GB2312" w:cs="仿宋_GB2312"/>
          <w:color w:val="0000FF"/>
          <w:sz w:val="21"/>
          <w:szCs w:val="21"/>
        </w:rPr>
        <w:t>案例名称建议以知识点中蕴含思政要素的价值要义命名，能够准确表达和概括所融入的思政元素内容，可以适当引申或修饰，与专业相结合，题意清晰又耳目一新，字数不超过25字为宜。</w:t>
      </w:r>
      <w:r>
        <w:rPr>
          <w:rFonts w:hint="eastAsia" w:ascii="仿宋_GB2312" w:hAnsi="仿宋_GB2312" w:eastAsia="仿宋_GB2312" w:cs="仿宋_GB2312"/>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8"/>
          <w:szCs w:val="28"/>
        </w:rPr>
      </w:pPr>
      <w:r>
        <w:rPr>
          <w:rFonts w:hint="eastAsia" w:ascii="黑体" w:hAnsi="黑体" w:eastAsia="黑体"/>
          <w:sz w:val="28"/>
          <w:szCs w:val="28"/>
        </w:rPr>
        <w:t>一、</w:t>
      </w:r>
      <w:r>
        <w:rPr>
          <w:rFonts w:hint="eastAsia" w:ascii="黑体" w:hAnsi="黑体" w:eastAsia="黑体"/>
          <w:sz w:val="28"/>
          <w:szCs w:val="28"/>
          <w:lang w:eastAsia="zh-CN"/>
        </w:rPr>
        <w:t>课程简介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1.课程名称、课程类型及修读对象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（课程类型包括专业核心课、专业选修课、专业方向课、公共课、实践课。）</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2.课程内容简介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3.课程目标及课程目标与毕业要求的对应关系</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（1）课程目标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（课程目标包含</w:t>
      </w:r>
      <w:r>
        <w:rPr>
          <w:rFonts w:hint="eastAsia" w:ascii="仿宋_GB2312" w:hAnsi="仿宋_GB2312" w:eastAsia="仿宋_GB2312" w:cs="仿宋_GB2312"/>
          <w:color w:val="0000FF"/>
          <w:sz w:val="21"/>
          <w:szCs w:val="21"/>
        </w:rPr>
        <w:t>知识与能力目标</w:t>
      </w:r>
      <w:r>
        <w:rPr>
          <w:rFonts w:hint="eastAsia" w:ascii="仿宋_GB2312" w:hAnsi="仿宋_GB2312" w:eastAsia="仿宋_GB2312" w:cs="仿宋_GB2312"/>
          <w:color w:val="0000FF"/>
          <w:sz w:val="21"/>
          <w:szCs w:val="21"/>
          <w:lang w:eastAsia="zh-CN"/>
        </w:rPr>
        <w:t>、</w:t>
      </w:r>
      <w:r>
        <w:rPr>
          <w:rFonts w:hint="eastAsia" w:ascii="仿宋_GB2312" w:hAnsi="仿宋_GB2312" w:eastAsia="仿宋_GB2312" w:cs="仿宋_GB2312"/>
          <w:color w:val="0000FF"/>
          <w:sz w:val="21"/>
          <w:szCs w:val="21"/>
        </w:rPr>
        <w:t>思政育人目标</w:t>
      </w:r>
      <w:r>
        <w:rPr>
          <w:rFonts w:hint="eastAsia" w:ascii="仿宋_GB2312" w:hAnsi="仿宋_GB2312" w:eastAsia="仿宋_GB2312" w:cs="仿宋_GB2312"/>
          <w:color w:val="0000FF"/>
          <w:sz w:val="21"/>
          <w:szCs w:val="21"/>
          <w:lang w:eastAsia="zh-CN"/>
        </w:rPr>
        <w:t>。</w:t>
      </w:r>
      <w:r>
        <w:rPr>
          <w:rFonts w:hint="eastAsia" w:ascii="仿宋_GB2312" w:hAnsi="仿宋_GB2312" w:eastAsia="仿宋_GB2312" w:cs="仿宋_GB2312"/>
          <w:color w:val="0000FF"/>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（2）课程目标与毕业要求的对应关系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2201"/>
        <w:gridCol w:w="2201"/>
        <w:gridCol w:w="2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8"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val="0"/>
                <w:bCs w:val="0"/>
                <w:sz w:val="21"/>
                <w:szCs w:val="21"/>
                <w:vertAlign w:val="baseline"/>
                <w:lang w:eastAsia="zh-CN"/>
              </w:rPr>
              <w:t>课程目标与毕业要求的对应关系</w:t>
            </w: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4" w:left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毕业要求</w:t>
            </w: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5" w:left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毕业要求指标点</w:t>
            </w:r>
          </w:p>
        </w:tc>
        <w:tc>
          <w:tcPr>
            <w:tcW w:w="2202"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96" w:leftChars="0" w:right="67" w:right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8" w:type="dxa"/>
            <w:vMerge w:val="continue"/>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vertAlign w:val="baseline"/>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4" w:leftChars="0"/>
              <w:jc w:val="center"/>
              <w:textAlignment w:val="auto"/>
              <w:rPr>
                <w:rFonts w:hint="eastAsia" w:ascii="宋体" w:hAnsi="宋体" w:eastAsia="宋体" w:cs="宋体"/>
                <w:color w:val="0070C0"/>
                <w:sz w:val="21"/>
                <w:szCs w:val="21"/>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5" w:leftChars="0"/>
              <w:jc w:val="center"/>
              <w:textAlignment w:val="auto"/>
              <w:rPr>
                <w:rFonts w:hint="eastAsia" w:ascii="宋体" w:hAnsi="宋体" w:eastAsia="宋体" w:cs="宋体"/>
                <w:color w:val="0070C0"/>
                <w:sz w:val="21"/>
                <w:szCs w:val="21"/>
                <w:lang w:eastAsia="zh-CN"/>
              </w:rPr>
            </w:pPr>
          </w:p>
        </w:tc>
        <w:tc>
          <w:tcPr>
            <w:tcW w:w="2202"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96" w:leftChars="0" w:right="67" w:rightChars="0"/>
              <w:jc w:val="center"/>
              <w:textAlignment w:val="auto"/>
              <w:rPr>
                <w:rFonts w:hint="eastAsia" w:ascii="宋体" w:hAnsi="宋体" w:eastAsia="宋体" w:cs="宋体"/>
                <w:color w:val="0070C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8" w:type="dxa"/>
            <w:vMerge w:val="continue"/>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vertAlign w:val="baseline"/>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4" w:leftChars="0"/>
              <w:jc w:val="center"/>
              <w:textAlignment w:val="auto"/>
              <w:rPr>
                <w:rFonts w:hint="eastAsia" w:ascii="宋体" w:hAnsi="宋体" w:eastAsia="宋体" w:cs="宋体"/>
                <w:color w:val="0070C0"/>
                <w:sz w:val="21"/>
                <w:szCs w:val="21"/>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5" w:leftChars="0"/>
              <w:jc w:val="center"/>
              <w:textAlignment w:val="auto"/>
              <w:rPr>
                <w:rFonts w:hint="eastAsia" w:ascii="宋体" w:hAnsi="宋体" w:eastAsia="宋体" w:cs="宋体"/>
                <w:color w:val="0070C0"/>
                <w:sz w:val="21"/>
                <w:szCs w:val="21"/>
                <w:lang w:eastAsia="zh-CN"/>
              </w:rPr>
            </w:pPr>
          </w:p>
        </w:tc>
        <w:tc>
          <w:tcPr>
            <w:tcW w:w="2202"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96" w:leftChars="0" w:right="67" w:rightChars="0"/>
              <w:jc w:val="center"/>
              <w:textAlignment w:val="auto"/>
              <w:rPr>
                <w:rFonts w:hint="eastAsia" w:ascii="宋体" w:hAnsi="宋体" w:eastAsia="宋体" w:cs="宋体"/>
                <w:color w:val="0070C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8" w:type="dxa"/>
            <w:vMerge w:val="continue"/>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vertAlign w:val="baseline"/>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4" w:leftChars="0"/>
              <w:jc w:val="center"/>
              <w:textAlignment w:val="auto"/>
              <w:rPr>
                <w:rFonts w:hint="eastAsia" w:ascii="宋体" w:hAnsi="宋体" w:eastAsia="宋体" w:cs="宋体"/>
                <w:color w:val="0070C0"/>
                <w:sz w:val="21"/>
                <w:szCs w:val="21"/>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5" w:leftChars="0"/>
              <w:jc w:val="center"/>
              <w:textAlignment w:val="auto"/>
              <w:rPr>
                <w:rFonts w:hint="eastAsia" w:ascii="宋体" w:hAnsi="宋体" w:eastAsia="宋体" w:cs="宋体"/>
                <w:color w:val="0070C0"/>
                <w:sz w:val="21"/>
                <w:szCs w:val="21"/>
                <w:lang w:eastAsia="zh-CN"/>
              </w:rPr>
            </w:pPr>
          </w:p>
        </w:tc>
        <w:tc>
          <w:tcPr>
            <w:tcW w:w="2202"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96" w:leftChars="0" w:right="67" w:rightChars="0"/>
              <w:jc w:val="center"/>
              <w:textAlignment w:val="auto"/>
              <w:rPr>
                <w:rFonts w:hint="eastAsia" w:ascii="宋体" w:hAnsi="宋体" w:eastAsia="宋体" w:cs="宋体"/>
                <w:color w:val="0070C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8" w:type="dxa"/>
            <w:vMerge w:val="continue"/>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vertAlign w:val="baseline"/>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4" w:leftChars="0"/>
              <w:jc w:val="center"/>
              <w:textAlignment w:val="auto"/>
              <w:rPr>
                <w:rFonts w:hint="eastAsia" w:ascii="宋体" w:hAnsi="宋体" w:eastAsia="宋体" w:cs="宋体"/>
                <w:color w:val="0070C0"/>
                <w:sz w:val="21"/>
                <w:szCs w:val="21"/>
                <w:lang w:eastAsia="zh-CN"/>
              </w:rPr>
            </w:pPr>
          </w:p>
        </w:tc>
        <w:tc>
          <w:tcPr>
            <w:tcW w:w="2201"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115" w:leftChars="0"/>
              <w:jc w:val="center"/>
              <w:textAlignment w:val="auto"/>
              <w:rPr>
                <w:rFonts w:hint="eastAsia" w:ascii="宋体" w:hAnsi="宋体" w:eastAsia="宋体" w:cs="宋体"/>
                <w:color w:val="0070C0"/>
                <w:sz w:val="21"/>
                <w:szCs w:val="21"/>
                <w:lang w:eastAsia="zh-CN"/>
              </w:rPr>
            </w:pPr>
          </w:p>
        </w:tc>
        <w:tc>
          <w:tcPr>
            <w:tcW w:w="2202" w:type="dxa"/>
            <w:vAlign w:val="top"/>
          </w:tcPr>
          <w:p>
            <w:pPr>
              <w:pStyle w:val="12"/>
              <w:keepNext w:val="0"/>
              <w:keepLines w:val="0"/>
              <w:pageBreakBefore w:val="0"/>
              <w:widowControl w:val="0"/>
              <w:kinsoku/>
              <w:wordWrap/>
              <w:overflowPunct/>
              <w:topLinePunct w:val="0"/>
              <w:autoSpaceDE/>
              <w:autoSpaceDN/>
              <w:bidi w:val="0"/>
              <w:adjustRightInd/>
              <w:snapToGrid/>
              <w:spacing w:line="400" w:lineRule="exact"/>
              <w:ind w:left="96" w:leftChars="0" w:right="67" w:rightChars="0"/>
              <w:jc w:val="center"/>
              <w:textAlignment w:val="auto"/>
              <w:rPr>
                <w:rFonts w:hint="eastAsia" w:ascii="宋体" w:hAnsi="宋体" w:eastAsia="宋体" w:cs="宋体"/>
                <w:color w:val="0070C0"/>
                <w:sz w:val="21"/>
                <w:szCs w:val="21"/>
                <w:lang w:eastAsia="zh-CN"/>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8"/>
          <w:szCs w:val="28"/>
          <w:lang w:eastAsia="zh-CN"/>
        </w:rPr>
      </w:pPr>
      <w:r>
        <w:rPr>
          <w:rFonts w:hint="eastAsia" w:ascii="黑体" w:hAnsi="黑体" w:eastAsia="黑体"/>
          <w:sz w:val="28"/>
          <w:szCs w:val="28"/>
          <w:lang w:eastAsia="zh-CN"/>
        </w:rPr>
        <w:t>二、整门课程的课程思政实施路径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1.简要描述整门课程的课程思政实施路径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如何结合本校办学定位、专业特色和人才培养要求，准确把握本课程的课程思政建设方向和重点，根据本课程的课程思政建设目标，优化课程思政内容供给，应重点突出如何挖掘提炼专业知识体系中与党的二十大精神契合的育人元素，将价值塑造、知识传授和能力培养紧密融合等情况，500字以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2.绘制整门课程的课程思政实施路线图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（应体现将二十大精神有机地融入课程。此图为参考模板，可根据实际情况自行设计。）</w:t>
      </w:r>
    </w:p>
    <w:p>
      <w:pPr>
        <w:spacing w:line="360" w:lineRule="auto"/>
        <w:jc w:val="center"/>
        <w:rPr>
          <w:rFonts w:hint="eastAsia"/>
          <w:b w:val="0"/>
          <w:bCs w:val="0"/>
          <w:sz w:val="24"/>
          <w:lang w:eastAsia="zh-CN"/>
        </w:rPr>
      </w:pPr>
      <w:r>
        <w:rPr>
          <w:rFonts w:hint="eastAsia" w:ascii="宋体" w:hAnsi="宋体" w:eastAsia="宋体" w:cs="宋体"/>
          <w:b/>
          <w:sz w:val="24"/>
          <w:lang w:eastAsia="zh-CN"/>
        </w:rPr>
        <w:drawing>
          <wp:inline distT="0" distB="0" distL="114300" distR="114300">
            <wp:extent cx="4455160" cy="2615565"/>
            <wp:effectExtent l="0" t="0" r="2540" b="13335"/>
            <wp:docPr id="3" name="图片 3" descr="1684378321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84378321223"/>
                    <pic:cNvPicPr>
                      <a:picLocks noChangeAspect="1"/>
                    </pic:cNvPicPr>
                  </pic:nvPicPr>
                  <pic:blipFill>
                    <a:blip r:embed="rId5"/>
                    <a:stretch>
                      <a:fillRect/>
                    </a:stretch>
                  </pic:blipFill>
                  <pic:spPr>
                    <a:xfrm>
                      <a:off x="0" y="0"/>
                      <a:ext cx="4455160" cy="261556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8"/>
          <w:szCs w:val="28"/>
          <w:lang w:eastAsia="zh-CN"/>
        </w:rPr>
      </w:pPr>
      <w:r>
        <w:rPr>
          <w:rFonts w:hint="eastAsia" w:ascii="黑体" w:hAnsi="黑体" w:eastAsia="黑体"/>
          <w:sz w:val="28"/>
          <w:szCs w:val="28"/>
          <w:lang w:eastAsia="zh-CN"/>
        </w:rPr>
        <w:t>三、课程某章节的教学展示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（请选取有二十大精神育人元素的典型教学案例进行展示。）</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1.教学目标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（本章节的教学目标，包括知识目标与能力目标、思政育人目标，200字以内。）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2.教学内容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（简要介绍本章节的教学内容，200字以内。）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3.思政元素融入的设计思路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（从设计理念、思政切入点与二十大精神育人元素有机融入两方面进行描述，500字以内。）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4.教学过程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（以某一章节或课堂教学内容为案例，对其进行介绍、分析，运用相适宜的教学方法和手段，合理的教学过程设计，逐步引出并升华至二十大精神育人目标，1000字以内。）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仿宋_GB2312"/>
          <w:b/>
          <w:color w:val="000000"/>
          <w:kern w:val="0"/>
          <w:sz w:val="28"/>
          <w:szCs w:val="28"/>
          <w:shd w:val="clear" w:color="auto" w:fill="FFFFFF"/>
          <w:lang w:val="en-US" w:eastAsia="zh-CN" w:bidi="ar-SA"/>
        </w:rPr>
      </w:pPr>
      <w:r>
        <w:rPr>
          <w:rFonts w:hint="eastAsia" w:ascii="楷体" w:hAnsi="楷体" w:eastAsia="楷体" w:cs="仿宋_GB2312"/>
          <w:b/>
          <w:color w:val="000000"/>
          <w:kern w:val="0"/>
          <w:sz w:val="28"/>
          <w:szCs w:val="28"/>
          <w:shd w:val="clear" w:color="auto" w:fill="FFFFFF"/>
          <w:lang w:val="en-US" w:eastAsia="zh-CN" w:bidi="ar-SA"/>
        </w:rPr>
        <w:t>5.思政育人效果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（包括意义和价值、考核评价、成效和特色，800字以内。）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8"/>
          <w:szCs w:val="28"/>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4"/>
          <w:szCs w:val="24"/>
          <w:lang w:eastAsia="zh-CN"/>
        </w:rPr>
      </w:pPr>
      <w:r>
        <w:rPr>
          <w:rFonts w:hint="eastAsia" w:ascii="黑体" w:hAnsi="黑体" w:eastAsia="黑体"/>
          <w:sz w:val="24"/>
          <w:szCs w:val="24"/>
          <w:lang w:eastAsia="zh-CN"/>
        </w:rPr>
        <w:t>【参考文献】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0000FF"/>
          <w:sz w:val="21"/>
          <w:szCs w:val="21"/>
          <w:lang w:val="en-US" w:eastAsia="zh-CN"/>
        </w:rPr>
      </w:pPr>
      <w:r>
        <w:rPr>
          <w:rFonts w:hint="eastAsia" w:ascii="仿宋_GB2312" w:hAnsi="仿宋_GB2312" w:eastAsia="仿宋_GB2312" w:cs="仿宋_GB2312"/>
          <w:color w:val="0000FF"/>
          <w:sz w:val="21"/>
          <w:szCs w:val="21"/>
          <w:lang w:val="en-US" w:eastAsia="zh-CN"/>
        </w:rPr>
        <w:t>（如果引用了他人成果，请附上参考文献。文献在正文中应有出处，采用顺序编码制（同一参考文献被多次引用时只用一个序号），并在序号后注明页码（如[1]6、[2]1-3），置于文末标点之内。</w:t>
      </w:r>
      <w:r>
        <w:rPr>
          <w:rFonts w:hint="eastAsia" w:ascii="仿宋_GB2312" w:hAnsi="仿宋_GB2312" w:eastAsia="仿宋_GB2312" w:cs="仿宋_GB2312"/>
          <w:b/>
          <w:bCs/>
          <w:color w:val="0000FF"/>
          <w:sz w:val="24"/>
          <w:szCs w:val="24"/>
          <w:lang w:val="en-US" w:eastAsia="zh-CN"/>
        </w:rPr>
        <w:t>参考文献格式规范按照三明学院学报要求：https://smsz.cbpt.cnki.net/WK</w:t>
      </w:r>
      <w:bookmarkStart w:id="0" w:name="_GoBack"/>
      <w:bookmarkEnd w:id="0"/>
      <w:r>
        <w:rPr>
          <w:rFonts w:hint="eastAsia" w:ascii="仿宋_GB2312" w:hAnsi="仿宋_GB2312" w:eastAsia="仿宋_GB2312" w:cs="仿宋_GB2312"/>
          <w:b/>
          <w:bCs/>
          <w:color w:val="0000FF"/>
          <w:sz w:val="24"/>
          <w:szCs w:val="24"/>
          <w:lang w:val="en-US" w:eastAsia="zh-CN"/>
        </w:rPr>
        <w:t>A/WebPublication/wkTextContent.aspx?navigationContentID=80e7758d-2054-430f-97e1-4e276d9246f5。</w:t>
      </w:r>
      <w:r>
        <w:rPr>
          <w:rFonts w:hint="eastAsia" w:ascii="仿宋_GB2312" w:hAnsi="仿宋_GB2312" w:eastAsia="仿宋_GB2312" w:cs="仿宋_GB2312"/>
          <w:color w:val="0000FF"/>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color w:val="333333"/>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color w:val="333333"/>
          <w:sz w:val="24"/>
          <w:szCs w:val="24"/>
          <w:shd w:val="clear" w:color="auto" w:fill="FFFFFF"/>
        </w:rPr>
      </w:pPr>
      <w:r>
        <w:rPr>
          <w:rFonts w:hint="eastAsia" w:ascii="仿宋_GB2312" w:hAnsi="宋体" w:eastAsia="仿宋_GB2312" w:cs="宋体"/>
          <w:b/>
          <w:bCs/>
          <w:color w:val="333333"/>
          <w:sz w:val="24"/>
          <w:szCs w:val="24"/>
          <w:shd w:val="clear" w:color="auto" w:fill="FFFFFF"/>
        </w:rPr>
        <w:t>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color w:val="333333"/>
          <w:sz w:val="24"/>
          <w:szCs w:val="24"/>
          <w:shd w:val="clear" w:color="auto" w:fill="FFFFFF"/>
          <w:lang w:eastAsia="zh-CN"/>
        </w:rPr>
      </w:pPr>
      <w:r>
        <w:rPr>
          <w:rFonts w:hint="eastAsia" w:ascii="仿宋_GB2312" w:hAnsi="宋体" w:eastAsia="仿宋_GB2312" w:cs="宋体"/>
          <w:color w:val="333333"/>
          <w:sz w:val="24"/>
          <w:szCs w:val="24"/>
          <w:shd w:val="clear" w:color="auto" w:fill="FFFFFF"/>
          <w:lang w:val="en-US" w:eastAsia="zh-CN"/>
        </w:rPr>
        <w:t>1.</w:t>
      </w:r>
      <w:r>
        <w:rPr>
          <w:rFonts w:hint="eastAsia" w:ascii="仿宋_GB2312" w:hAnsi="宋体" w:eastAsia="仿宋_GB2312" w:cs="宋体"/>
          <w:color w:val="333333"/>
          <w:spacing w:val="-6"/>
          <w:sz w:val="24"/>
          <w:szCs w:val="24"/>
          <w:shd w:val="clear" w:color="auto" w:fill="FFFFFF"/>
        </w:rPr>
        <w:t>文档采用WORD格式</w:t>
      </w:r>
      <w:r>
        <w:rPr>
          <w:rFonts w:hint="eastAsia" w:ascii="仿宋_GB2312" w:hAnsi="宋体" w:eastAsia="仿宋_GB2312" w:cs="宋体"/>
          <w:color w:val="333333"/>
          <w:spacing w:val="-6"/>
          <w:sz w:val="24"/>
          <w:szCs w:val="24"/>
          <w:shd w:val="clear" w:color="auto" w:fill="FFFFFF"/>
          <w:lang w:eastAsia="zh-CN"/>
        </w:rPr>
        <w:t>，</w:t>
      </w:r>
      <w:r>
        <w:rPr>
          <w:rFonts w:hint="eastAsia" w:ascii="仿宋_GB2312" w:hAnsi="宋体" w:eastAsia="仿宋_GB2312" w:cs="宋体"/>
          <w:b/>
          <w:bCs/>
          <w:color w:val="333333"/>
          <w:spacing w:val="-6"/>
          <w:sz w:val="24"/>
          <w:szCs w:val="24"/>
          <w:shd w:val="clear" w:color="auto" w:fill="FFFFFF"/>
        </w:rPr>
        <w:t>页边距</w:t>
      </w:r>
      <w:r>
        <w:rPr>
          <w:rFonts w:hint="eastAsia" w:ascii="仿宋_GB2312" w:hAnsi="宋体" w:eastAsia="仿宋_GB2312" w:cs="宋体"/>
          <w:color w:val="333333"/>
          <w:spacing w:val="-6"/>
          <w:sz w:val="24"/>
          <w:szCs w:val="24"/>
          <w:shd w:val="clear" w:color="auto" w:fill="FFFFFF"/>
        </w:rPr>
        <w:t>为上3.7厘米，下3.5厘米，左2.8厘米，右2.6厘米</w:t>
      </w:r>
      <w:r>
        <w:rPr>
          <w:rFonts w:hint="eastAsia" w:ascii="仿宋_GB2312" w:hAnsi="宋体" w:eastAsia="仿宋_GB2312" w:cs="宋体"/>
          <w:color w:val="333333"/>
          <w:spacing w:val="-6"/>
          <w:sz w:val="24"/>
          <w:szCs w:val="24"/>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color w:val="333333"/>
          <w:sz w:val="24"/>
          <w:szCs w:val="24"/>
          <w:shd w:val="clear" w:color="auto" w:fill="FFFFFF"/>
        </w:rPr>
      </w:pPr>
      <w:r>
        <w:rPr>
          <w:rFonts w:hint="eastAsia" w:ascii="仿宋_GB2312" w:hAnsi="宋体" w:eastAsia="仿宋_GB2312" w:cs="宋体"/>
          <w:color w:val="333333"/>
          <w:sz w:val="24"/>
          <w:szCs w:val="24"/>
          <w:shd w:val="clear" w:color="auto" w:fill="FFFFFF"/>
          <w:lang w:val="en-US" w:eastAsia="zh-CN"/>
        </w:rPr>
        <w:t>2.</w:t>
      </w:r>
      <w:r>
        <w:rPr>
          <w:rFonts w:hint="eastAsia" w:ascii="仿宋_GB2312" w:hAnsi="宋体" w:eastAsia="仿宋_GB2312" w:cs="宋体"/>
          <w:b/>
          <w:bCs/>
          <w:color w:val="333333"/>
          <w:sz w:val="24"/>
          <w:szCs w:val="24"/>
          <w:shd w:val="clear" w:color="auto" w:fill="FFFFFF"/>
        </w:rPr>
        <w:t>标题</w:t>
      </w:r>
      <w:r>
        <w:rPr>
          <w:rFonts w:hint="eastAsia" w:ascii="仿宋_GB2312" w:hAnsi="宋体" w:eastAsia="仿宋_GB2312" w:cs="宋体"/>
          <w:color w:val="333333"/>
          <w:sz w:val="24"/>
          <w:szCs w:val="24"/>
          <w:shd w:val="clear" w:color="auto" w:fill="FFFFFF"/>
        </w:rPr>
        <w:t>用二号方正小标宋简体字体</w:t>
      </w:r>
      <w:r>
        <w:rPr>
          <w:rFonts w:hint="eastAsia" w:ascii="仿宋_GB2312" w:hAnsi="宋体" w:eastAsia="仿宋_GB2312" w:cs="宋体"/>
          <w:color w:val="333333"/>
          <w:sz w:val="24"/>
          <w:szCs w:val="24"/>
          <w:shd w:val="clear" w:color="auto" w:fill="FFFFFF"/>
          <w:lang w:eastAsia="zh-CN"/>
        </w:rPr>
        <w:t>，</w:t>
      </w:r>
      <w:r>
        <w:rPr>
          <w:rFonts w:hint="eastAsia" w:ascii="仿宋_GB2312" w:hAnsi="宋体" w:eastAsia="仿宋_GB2312" w:cs="宋体"/>
          <w:color w:val="333333"/>
          <w:sz w:val="24"/>
          <w:szCs w:val="24"/>
          <w:shd w:val="clear" w:color="auto" w:fill="FFFFFF"/>
        </w:rPr>
        <w:t>如有副标题，用三号加黑楷体。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color w:val="333333"/>
          <w:sz w:val="24"/>
          <w:szCs w:val="24"/>
          <w:shd w:val="clear" w:color="auto" w:fill="FFFFFF"/>
        </w:rPr>
      </w:pPr>
      <w:r>
        <w:rPr>
          <w:rFonts w:hint="eastAsia" w:ascii="仿宋_GB2312" w:hAnsi="宋体" w:eastAsia="仿宋_GB2312" w:cs="宋体"/>
          <w:color w:val="333333"/>
          <w:sz w:val="24"/>
          <w:szCs w:val="24"/>
          <w:shd w:val="clear" w:color="auto" w:fill="FFFFFF"/>
          <w:lang w:val="en-US" w:eastAsia="zh-CN"/>
        </w:rPr>
        <w:t>3.</w:t>
      </w:r>
      <w:r>
        <w:rPr>
          <w:rFonts w:hint="eastAsia" w:ascii="仿宋_GB2312" w:hAnsi="宋体" w:eastAsia="仿宋_GB2312" w:cs="宋体"/>
          <w:b/>
          <w:bCs/>
          <w:color w:val="333333"/>
          <w:sz w:val="24"/>
          <w:szCs w:val="24"/>
          <w:shd w:val="clear" w:color="auto" w:fill="FFFFFF"/>
        </w:rPr>
        <w:t>正文</w:t>
      </w:r>
      <w:r>
        <w:rPr>
          <w:rFonts w:hint="eastAsia" w:ascii="仿宋_GB2312" w:hAnsi="宋体" w:eastAsia="仿宋_GB2312" w:cs="宋体"/>
          <w:color w:val="333333"/>
          <w:sz w:val="24"/>
          <w:szCs w:val="24"/>
          <w:shd w:val="clear" w:color="auto" w:fill="FFFFFF"/>
        </w:rPr>
        <w:t>用四号仿宋_GB2312字体，行距为1.5倍；首行缩进2字符；正文中插入的</w:t>
      </w:r>
      <w:r>
        <w:rPr>
          <w:rFonts w:hint="eastAsia" w:ascii="仿宋_GB2312" w:hAnsi="宋体" w:eastAsia="仿宋_GB2312" w:cs="宋体"/>
          <w:b/>
          <w:bCs/>
          <w:color w:val="333333"/>
          <w:sz w:val="24"/>
          <w:szCs w:val="24"/>
          <w:shd w:val="clear" w:color="auto" w:fill="FFFFFF"/>
        </w:rPr>
        <w:t>表格</w:t>
      </w:r>
      <w:r>
        <w:rPr>
          <w:rFonts w:hint="eastAsia" w:ascii="仿宋_GB2312" w:hAnsi="宋体" w:eastAsia="仿宋_GB2312" w:cs="宋体"/>
          <w:color w:val="333333"/>
          <w:sz w:val="24"/>
          <w:szCs w:val="24"/>
          <w:shd w:val="clear" w:color="auto" w:fill="FFFFFF"/>
        </w:rPr>
        <w:t>内文字使用宋体五号，行距为20磅，整个表格居中对齐；正文中的</w:t>
      </w:r>
      <w:r>
        <w:rPr>
          <w:rFonts w:hint="eastAsia" w:ascii="仿宋_GB2312" w:hAnsi="宋体" w:eastAsia="仿宋_GB2312" w:cs="宋体"/>
          <w:b/>
          <w:bCs/>
          <w:color w:val="333333"/>
          <w:sz w:val="24"/>
          <w:szCs w:val="24"/>
          <w:shd w:val="clear" w:color="auto" w:fill="FFFFFF"/>
        </w:rPr>
        <w:t>英文与数字</w:t>
      </w:r>
      <w:r>
        <w:rPr>
          <w:rFonts w:hint="eastAsia" w:ascii="仿宋_GB2312" w:hAnsi="宋体" w:eastAsia="仿宋_GB2312" w:cs="宋体"/>
          <w:color w:val="333333"/>
          <w:sz w:val="24"/>
          <w:szCs w:val="24"/>
          <w:shd w:val="clear" w:color="auto" w:fill="FFFFFF"/>
        </w:rPr>
        <w:t>使用TimesNewRoman字体。正文中如有</w:t>
      </w:r>
      <w:r>
        <w:rPr>
          <w:rFonts w:hint="eastAsia" w:ascii="仿宋_GB2312" w:hAnsi="宋体" w:eastAsia="仿宋_GB2312" w:cs="宋体"/>
          <w:b/>
          <w:bCs/>
          <w:color w:val="333333"/>
          <w:sz w:val="24"/>
          <w:szCs w:val="24"/>
          <w:shd w:val="clear" w:color="auto" w:fill="FFFFFF"/>
        </w:rPr>
        <w:t>多级标题</w:t>
      </w:r>
      <w:r>
        <w:rPr>
          <w:rFonts w:hint="eastAsia" w:ascii="仿宋_GB2312" w:hAnsi="宋体" w:eastAsia="仿宋_GB2312" w:cs="宋体"/>
          <w:color w:val="333333"/>
          <w:sz w:val="24"/>
          <w:szCs w:val="24"/>
          <w:shd w:val="clear" w:color="auto" w:fill="FFFFFF"/>
        </w:rPr>
        <w:t>，第一级标题用黑体字，第二级标题用楷体字加粗，第三级标题用仿宋_GB2312字体加粗，第四级标题用仿宋_GB2312字体。所有标题独立成行，不加标点。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_GB2312" w:hAnsi="宋体" w:eastAsia="仿宋_GB2312" w:cs="宋体"/>
          <w:color w:val="333333"/>
          <w:sz w:val="24"/>
          <w:szCs w:val="24"/>
          <w:shd w:val="clear" w:color="auto" w:fill="FFFFFF"/>
          <w:lang w:val="en-US" w:eastAsia="zh-CN"/>
        </w:rPr>
      </w:pPr>
      <w:r>
        <w:rPr>
          <w:rFonts w:hint="eastAsia" w:ascii="仿宋_GB2312" w:hAnsi="宋体" w:eastAsia="仿宋_GB2312" w:cs="宋体"/>
          <w:color w:val="333333"/>
          <w:sz w:val="24"/>
          <w:szCs w:val="24"/>
          <w:shd w:val="clear" w:color="auto" w:fill="FFFFFF"/>
          <w:lang w:val="en-US" w:eastAsia="zh-CN"/>
        </w:rPr>
        <w:t>4.</w:t>
      </w:r>
      <w:r>
        <w:rPr>
          <w:rFonts w:hint="eastAsia" w:ascii="仿宋_GB2312" w:hAnsi="宋体" w:eastAsia="仿宋_GB2312" w:cs="宋体"/>
          <w:b/>
          <w:bCs/>
          <w:color w:val="333333"/>
          <w:sz w:val="24"/>
          <w:szCs w:val="24"/>
          <w:shd w:val="clear" w:color="auto" w:fill="FFFFFF"/>
        </w:rPr>
        <w:t>页码</w:t>
      </w:r>
      <w:r>
        <w:rPr>
          <w:rFonts w:hint="eastAsia" w:ascii="仿宋_GB2312" w:hAnsi="宋体" w:eastAsia="仿宋_GB2312" w:cs="宋体"/>
          <w:color w:val="333333"/>
          <w:sz w:val="24"/>
          <w:szCs w:val="24"/>
          <w:shd w:val="clear" w:color="auto" w:fill="FFFFFF"/>
        </w:rPr>
        <w:t>用4号半角宋体阿拉伯数字，在页面底端居中。</w:t>
      </w: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RhYTQ3MTkxY2VlMTEwZTVjZTllYjE1NWY5ODg4MTUifQ=="/>
  </w:docVars>
  <w:rsids>
    <w:rsidRoot w:val="009C482B"/>
    <w:rsid w:val="0008718D"/>
    <w:rsid w:val="000E12E9"/>
    <w:rsid w:val="000E2E5C"/>
    <w:rsid w:val="001E11F1"/>
    <w:rsid w:val="001F47FF"/>
    <w:rsid w:val="003379DA"/>
    <w:rsid w:val="003966D2"/>
    <w:rsid w:val="003F4102"/>
    <w:rsid w:val="0042201D"/>
    <w:rsid w:val="0044426C"/>
    <w:rsid w:val="00634434"/>
    <w:rsid w:val="006872E1"/>
    <w:rsid w:val="006D51F6"/>
    <w:rsid w:val="007F7445"/>
    <w:rsid w:val="0081754E"/>
    <w:rsid w:val="008B5837"/>
    <w:rsid w:val="009716A6"/>
    <w:rsid w:val="009C482B"/>
    <w:rsid w:val="009E012E"/>
    <w:rsid w:val="00A33697"/>
    <w:rsid w:val="00B93BFF"/>
    <w:rsid w:val="00C8625C"/>
    <w:rsid w:val="00E13393"/>
    <w:rsid w:val="00FB5A2C"/>
    <w:rsid w:val="01154EDD"/>
    <w:rsid w:val="01264FE9"/>
    <w:rsid w:val="02F05C02"/>
    <w:rsid w:val="05BE78F1"/>
    <w:rsid w:val="07837F0E"/>
    <w:rsid w:val="0944797E"/>
    <w:rsid w:val="0A952964"/>
    <w:rsid w:val="0D5648B3"/>
    <w:rsid w:val="0F130BC3"/>
    <w:rsid w:val="10CA1840"/>
    <w:rsid w:val="1351449B"/>
    <w:rsid w:val="16783AEC"/>
    <w:rsid w:val="17180EB0"/>
    <w:rsid w:val="1DE57CB9"/>
    <w:rsid w:val="24C148B0"/>
    <w:rsid w:val="26741E8D"/>
    <w:rsid w:val="26C13138"/>
    <w:rsid w:val="26D0702D"/>
    <w:rsid w:val="299D58EC"/>
    <w:rsid w:val="2D742E08"/>
    <w:rsid w:val="313B1EE6"/>
    <w:rsid w:val="33846E90"/>
    <w:rsid w:val="379F47A7"/>
    <w:rsid w:val="390A2872"/>
    <w:rsid w:val="3BBD6082"/>
    <w:rsid w:val="3CDF7B9C"/>
    <w:rsid w:val="3F081602"/>
    <w:rsid w:val="3F632DC4"/>
    <w:rsid w:val="430F2F5F"/>
    <w:rsid w:val="45C51FFB"/>
    <w:rsid w:val="45EC7739"/>
    <w:rsid w:val="46010231"/>
    <w:rsid w:val="465869CB"/>
    <w:rsid w:val="55935C72"/>
    <w:rsid w:val="559B0682"/>
    <w:rsid w:val="561072C2"/>
    <w:rsid w:val="574B7E86"/>
    <w:rsid w:val="574C432A"/>
    <w:rsid w:val="5CEF0BAF"/>
    <w:rsid w:val="6223157A"/>
    <w:rsid w:val="64496080"/>
    <w:rsid w:val="64CA4AE0"/>
    <w:rsid w:val="6655487D"/>
    <w:rsid w:val="6A6C07F5"/>
    <w:rsid w:val="6AD75A7A"/>
    <w:rsid w:val="6E0E5A3E"/>
    <w:rsid w:val="6E657628"/>
    <w:rsid w:val="6F514CA2"/>
    <w:rsid w:val="73B01345"/>
    <w:rsid w:val="757F5473"/>
    <w:rsid w:val="7CBC110D"/>
    <w:rsid w:val="7E2412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9">
    <w:name w:val="List Paragraph"/>
    <w:basedOn w:val="1"/>
    <w:qFormat/>
    <w:uiPriority w:val="1"/>
    <w:pPr>
      <w:spacing w:before="1"/>
      <w:ind w:left="114"/>
    </w:pPr>
    <w:rPr>
      <w:rFonts w:ascii="宋体" w:hAnsi="宋体" w:eastAsia="宋体" w:cs="宋体"/>
      <w:lang w:val="zh-CN" w:bidi="zh-CN"/>
    </w:rPr>
  </w:style>
  <w:style w:type="character" w:customStyle="1" w:styleId="10">
    <w:name w:val="页眉 Char"/>
    <w:basedOn w:val="8"/>
    <w:link w:val="4"/>
    <w:qFormat/>
    <w:uiPriority w:val="0"/>
    <w:rPr>
      <w:kern w:val="2"/>
      <w:sz w:val="18"/>
      <w:szCs w:val="18"/>
    </w:rPr>
  </w:style>
  <w:style w:type="character" w:customStyle="1" w:styleId="11">
    <w:name w:val="页脚 Char"/>
    <w:basedOn w:val="8"/>
    <w:link w:val="3"/>
    <w:qFormat/>
    <w:uiPriority w:val="0"/>
    <w:rPr>
      <w:kern w:val="2"/>
      <w:sz w:val="18"/>
      <w:szCs w:val="18"/>
    </w:rPr>
  </w:style>
  <w:style w:type="paragraph" w:customStyle="1" w:styleId="12">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1042</Words>
  <Characters>1118</Characters>
  <Lines>6</Lines>
  <Paragraphs>1</Paragraphs>
  <TotalTime>16</TotalTime>
  <ScaleCrop>false</ScaleCrop>
  <LinksUpToDate>false</LinksUpToDate>
  <CharactersWithSpaces>1120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2022-12-08T08:40:00Z</dcterms:created>
  <dc:creator>Administrator</dc:creator>
  <cp:lastModifiedBy>Alva姜姗</cp:lastModifiedBy>
  <cp:lastPrinted>2023-05-17T00:56:00Z</cp:lastPrinted>
  <dcterms:modified xsi:type="dcterms:W3CDTF">2023-05-22T02:06:12Z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6EC486FD35414C5F92627FDD43C64743</vt:lpwstr>
  </property>
</Properties>
</file>