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firstLineChars="200"/>
        <w:jc w:val="center"/>
        <w:rPr>
          <w:rFonts w:hint="eastAsia"/>
          <w:lang w:val="en-US" w:eastAsia="zh-CN"/>
        </w:rPr>
      </w:pPr>
      <w:r>
        <w:rPr>
          <w:rFonts w:hint="eastAsia" w:ascii="黑体" w:hAnsi="黑体" w:eastAsia="黑体" w:cs="黑体"/>
          <w:b/>
          <w:bCs/>
          <w:color w:val="auto"/>
          <w:sz w:val="32"/>
          <w:szCs w:val="32"/>
          <w:lang w:val="en-US" w:eastAsia="zh-CN"/>
        </w:rPr>
        <w:t>各类资产的</w:t>
      </w:r>
      <w:r>
        <w:rPr>
          <w:rFonts w:hint="eastAsia" w:ascii="黑体" w:hAnsi="黑体" w:eastAsia="黑体" w:cs="黑体"/>
          <w:b/>
          <w:bCs/>
          <w:color w:val="auto"/>
          <w:sz w:val="32"/>
          <w:szCs w:val="32"/>
          <w:lang w:val="en-US" w:eastAsia="zh-CN"/>
        </w:rPr>
        <w:t>最低使用年限</w:t>
      </w:r>
    </w:p>
    <w:p>
      <w:pPr>
        <w:ind w:firstLine="560" w:firstLineChars="200"/>
        <w:jc w:val="left"/>
        <w:rPr>
          <w:rFonts w:hint="eastAsia" w:ascii="宋体" w:hAnsi="宋体" w:cs="宋体"/>
          <w:sz w:val="28"/>
          <w:szCs w:val="28"/>
          <w:lang w:val="en-US" w:eastAsia="zh-CN"/>
        </w:rPr>
      </w:pPr>
      <w:r>
        <w:rPr>
          <w:rFonts w:hint="eastAsia" w:ascii="宋体" w:hAnsi="宋体" w:eastAsia="宋体" w:cs="宋体"/>
          <w:sz w:val="28"/>
          <w:szCs w:val="28"/>
          <w:lang w:val="en-US" w:eastAsia="zh-CN"/>
        </w:rPr>
        <w:t>各类资产的</w:t>
      </w:r>
      <w:r>
        <w:rPr>
          <w:rFonts w:hint="eastAsia" w:ascii="宋体" w:hAnsi="宋体" w:eastAsia="宋体" w:cs="宋体"/>
          <w:color w:val="FF0000"/>
          <w:sz w:val="28"/>
          <w:szCs w:val="28"/>
          <w:lang w:val="en-US" w:eastAsia="zh-CN"/>
        </w:rPr>
        <w:t>最低使用年限</w:t>
      </w:r>
      <w:r>
        <w:rPr>
          <w:rFonts w:hint="eastAsia" w:ascii="宋体" w:hAnsi="宋体" w:eastAsia="宋体" w:cs="宋体"/>
          <w:sz w:val="28"/>
          <w:szCs w:val="28"/>
          <w:lang w:val="en-US" w:eastAsia="zh-CN"/>
        </w:rPr>
        <w:t>应超过以下折旧年限表中规定的折旧年限</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属于</w:t>
      </w:r>
      <w:r>
        <w:rPr>
          <w:rFonts w:hint="eastAsia" w:ascii="宋体" w:hAnsi="宋体" w:eastAsia="宋体" w:cs="宋体"/>
          <w:sz w:val="28"/>
          <w:szCs w:val="28"/>
          <w:lang w:val="en-US" w:eastAsia="zh-CN"/>
        </w:rPr>
        <w:t>办公设备</w:t>
      </w:r>
      <w:r>
        <w:rPr>
          <w:rFonts w:hint="eastAsia" w:ascii="宋体" w:hAnsi="宋体" w:eastAsia="宋体" w:cs="宋体"/>
          <w:sz w:val="28"/>
          <w:szCs w:val="28"/>
          <w:lang w:val="en-US" w:eastAsia="zh-CN"/>
        </w:rPr>
        <w:t>和办公家具的</w:t>
      </w:r>
      <w:bookmarkStart w:id="0" w:name="_GoBack"/>
      <w:bookmarkEnd w:id="0"/>
      <w:r>
        <w:rPr>
          <w:rFonts w:hint="eastAsia" w:ascii="宋体" w:hAnsi="宋体" w:cs="宋体"/>
          <w:sz w:val="28"/>
          <w:szCs w:val="28"/>
          <w:lang w:val="en-US" w:eastAsia="zh-CN"/>
        </w:rPr>
        <w:t>，</w:t>
      </w:r>
      <w:r>
        <w:rPr>
          <w:rFonts w:hint="eastAsia" w:ascii="宋体" w:hAnsi="宋体" w:eastAsia="宋体" w:cs="宋体"/>
          <w:sz w:val="28"/>
          <w:szCs w:val="28"/>
          <w:lang w:val="en-US" w:eastAsia="zh-CN"/>
        </w:rPr>
        <w:t>还应超过以下</w:t>
      </w:r>
      <w:r>
        <w:rPr>
          <w:rFonts w:hint="eastAsia" w:ascii="宋体" w:hAnsi="宋体" w:eastAsia="宋体" w:cs="宋体"/>
          <w:sz w:val="28"/>
          <w:szCs w:val="28"/>
          <w:lang w:val="en-US" w:eastAsia="zh-CN"/>
        </w:rPr>
        <w:t>福建省省级行政事业单位通用办公设备</w:t>
      </w:r>
      <w:r>
        <w:rPr>
          <w:rFonts w:hint="eastAsia" w:ascii="宋体" w:hAnsi="宋体" w:eastAsia="宋体" w:cs="宋体"/>
          <w:sz w:val="28"/>
          <w:szCs w:val="28"/>
          <w:lang w:val="en-US" w:eastAsia="zh-CN"/>
        </w:rPr>
        <w:t>和办公家具的使用年限</w:t>
      </w:r>
      <w:r>
        <w:rPr>
          <w:rFonts w:hint="eastAsia" w:ascii="宋体" w:hAnsi="宋体" w:cs="宋体"/>
          <w:sz w:val="28"/>
          <w:szCs w:val="28"/>
          <w:lang w:val="en-US" w:eastAsia="zh-CN"/>
        </w:rPr>
        <w:t>。申请报废处置的资产原则上应超过这些最低使用年限，如未</w:t>
      </w:r>
      <w:r>
        <w:rPr>
          <w:rFonts w:hint="eastAsia" w:ascii="宋体" w:hAnsi="宋体" w:cs="宋体"/>
          <w:sz w:val="28"/>
          <w:szCs w:val="28"/>
          <w:lang w:val="en-US" w:eastAsia="zh-CN"/>
        </w:rPr>
        <w:t>超过这些最低使用年限但</w:t>
      </w:r>
      <w:r>
        <w:rPr>
          <w:rFonts w:hint="eastAsia" w:ascii="宋体" w:hAnsi="宋体" w:cs="宋体"/>
          <w:sz w:val="28"/>
          <w:szCs w:val="28"/>
          <w:lang w:val="en-US" w:eastAsia="zh-CN"/>
        </w:rPr>
        <w:t>确实应客观原因需要报废的，需要单独进行说明。</w:t>
      </w:r>
    </w:p>
    <w:p>
      <w:pPr>
        <w:pStyle w:val="2"/>
        <w:rPr>
          <w:rFonts w:hint="eastAsia"/>
          <w:lang w:val="en-US" w:eastAsia="zh-CN"/>
        </w:rPr>
      </w:pPr>
    </w:p>
    <w:p>
      <w:pPr>
        <w:pStyle w:val="2"/>
        <w:rPr>
          <w:rFonts w:hint="eastAsia"/>
          <w:lang w:val="en-US" w:eastAsia="zh-CN"/>
        </w:rPr>
      </w:pPr>
    </w:p>
    <w:p>
      <w:pPr>
        <w:keepNext w:val="0"/>
        <w:keepLines w:val="0"/>
        <w:pageBreakBefore w:val="0"/>
        <w:widowControl/>
        <w:kinsoku/>
        <w:wordWrap/>
        <w:overflowPunct/>
        <w:topLinePunct w:val="0"/>
        <w:autoSpaceDE/>
        <w:autoSpaceDN/>
        <w:bidi w:val="0"/>
        <w:adjustRightInd/>
        <w:snapToGrid/>
        <w:spacing w:beforeLines="25" w:afterLines="25" w:line="360" w:lineRule="exact"/>
        <w:jc w:val="center"/>
        <w:textAlignment w:val="auto"/>
        <w:rPr>
          <w:rFonts w:hint="eastAsia" w:ascii="黑体" w:hAnsi="宋体" w:eastAsia="黑体" w:cs="宋体"/>
          <w:kern w:val="0"/>
          <w:sz w:val="32"/>
          <w:szCs w:val="32"/>
        </w:rPr>
      </w:pPr>
      <w:r>
        <w:rPr>
          <w:rFonts w:hint="eastAsia" w:ascii="黑体" w:hAnsi="宋体" w:eastAsia="黑体" w:cs="宋体"/>
          <w:kern w:val="0"/>
          <w:sz w:val="32"/>
          <w:szCs w:val="32"/>
        </w:rPr>
        <w:t>高等学校固定资产折旧年限表</w:t>
      </w:r>
    </w:p>
    <w:p>
      <w:pPr>
        <w:jc w:val="center"/>
        <w:rPr>
          <w:rFonts w:hint="eastAsia" w:ascii="Times New Roman" w:hAnsi="Times New Roman" w:eastAsia="华文中宋" w:cs="Times New Roman"/>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出自财政部发布的《关于高等学校执行&lt;政府会计制度——行政事业单位会计科目和报表&gt;的补充规定》</w:t>
      </w:r>
      <w:r>
        <w:rPr>
          <w:rFonts w:hint="eastAsia" w:ascii="宋体" w:hAnsi="宋体" w:cs="宋体"/>
          <w:sz w:val="24"/>
          <w:szCs w:val="24"/>
          <w:lang w:val="en-US" w:eastAsia="zh-CN"/>
        </w:rPr>
        <w:t>（财会〔2018〕19号）</w:t>
      </w:r>
      <w:r>
        <w:rPr>
          <w:rFonts w:hint="eastAsia" w:ascii="宋体" w:hAnsi="宋体" w:eastAsia="宋体" w:cs="宋体"/>
          <w:sz w:val="24"/>
          <w:szCs w:val="24"/>
          <w:lang w:val="en-US" w:eastAsia="zh-CN"/>
        </w:rPr>
        <w:t>，2019年1月1日起</w:t>
      </w:r>
      <w:r>
        <w:rPr>
          <w:rFonts w:hint="eastAsia" w:asciiTheme="minorEastAsia" w:hAnsiTheme="minorEastAsia" w:eastAsiaTheme="minorEastAsia" w:cstheme="minorEastAsia"/>
          <w:sz w:val="24"/>
          <w:szCs w:val="24"/>
          <w:lang w:val="en-US" w:eastAsia="zh-CN"/>
        </w:rPr>
        <w:t>执行</w:t>
      </w:r>
      <w:r>
        <w:rPr>
          <w:rFonts w:hint="eastAsia" w:asciiTheme="minorEastAsia" w:hAnsiTheme="minorEastAsia" w:eastAsiaTheme="minorEastAsia" w:cstheme="minorEastAsia"/>
          <w:sz w:val="24"/>
          <w:szCs w:val="24"/>
          <w:lang w:eastAsia="zh-CN"/>
        </w:rPr>
        <w:t>）</w:t>
      </w:r>
    </w:p>
    <w:tbl>
      <w:tblPr>
        <w:tblStyle w:val="5"/>
        <w:tblpPr w:leftFromText="180" w:rightFromText="180" w:vertAnchor="text" w:horzAnchor="margin" w:tblpY="380"/>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97"/>
        <w:gridCol w:w="1766"/>
        <w:gridCol w:w="32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052" w:type="pct"/>
            <w:vAlign w:val="center"/>
          </w:tcPr>
          <w:p>
            <w:pPr>
              <w:jc w:val="center"/>
              <w:rPr>
                <w:rFonts w:ascii="Times New Roman" w:hAnsi="Times New Roman" w:cs="Times New Roman"/>
                <w:b/>
                <w:sz w:val="24"/>
              </w:rPr>
            </w:pPr>
            <w:r>
              <w:rPr>
                <w:rFonts w:ascii="Times New Roman" w:hAnsi="Times New Roman" w:cs="Times New Roman"/>
                <w:b/>
                <w:sz w:val="24"/>
              </w:rPr>
              <w:t>固定资产</w:t>
            </w:r>
            <w:r>
              <w:rPr>
                <w:rFonts w:hint="eastAsia" w:ascii="Times New Roman" w:hAnsi="Times New Roman" w:cs="Times New Roman"/>
                <w:b/>
                <w:sz w:val="24"/>
              </w:rPr>
              <w:t>类别</w:t>
            </w:r>
          </w:p>
        </w:tc>
        <w:tc>
          <w:tcPr>
            <w:tcW w:w="1036" w:type="pct"/>
            <w:vAlign w:val="center"/>
          </w:tcPr>
          <w:p>
            <w:pPr>
              <w:snapToGrid w:val="0"/>
              <w:jc w:val="center"/>
              <w:rPr>
                <w:rFonts w:ascii="Times New Roman" w:hAnsi="Times New Roman" w:cs="Times New Roman"/>
                <w:b/>
                <w:sz w:val="24"/>
              </w:rPr>
            </w:pPr>
            <w:r>
              <w:rPr>
                <w:rFonts w:ascii="Times New Roman" w:hAnsi="Times New Roman" w:cs="Times New Roman"/>
                <w:b/>
                <w:sz w:val="24"/>
              </w:rPr>
              <w:t>折旧年限（年）</w:t>
            </w:r>
          </w:p>
        </w:tc>
        <w:tc>
          <w:tcPr>
            <w:tcW w:w="1912" w:type="pct"/>
            <w:vAlign w:val="center"/>
          </w:tcPr>
          <w:p>
            <w:pPr>
              <w:jc w:val="center"/>
              <w:rPr>
                <w:rFonts w:ascii="Times New Roman" w:hAnsi="Times New Roman" w:cs="Times New Roman"/>
                <w:b/>
                <w:sz w:val="24"/>
              </w:rPr>
            </w:pPr>
            <w:r>
              <w:rPr>
                <w:rFonts w:ascii="Times New Roman" w:hAnsi="Times New Roman" w:cs="Times New Roman"/>
                <w:b/>
                <w:sz w:val="24"/>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3"/>
            <w:vAlign w:val="center"/>
          </w:tcPr>
          <w:p>
            <w:pPr>
              <w:snapToGrid w:val="0"/>
              <w:spacing w:line="400" w:lineRule="atLeast"/>
              <w:rPr>
                <w:rFonts w:ascii="Times New Roman" w:hAnsi="Times New Roman" w:cs="Times New Roman"/>
                <w:sz w:val="24"/>
              </w:rPr>
            </w:pPr>
            <w:r>
              <w:rPr>
                <w:rFonts w:ascii="Times New Roman" w:hAnsi="Times New Roman" w:cs="Times New Roman"/>
                <w:b/>
                <w:sz w:val="24"/>
              </w:rPr>
              <w:t>一、房屋及构筑物</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1.房屋</w:t>
            </w:r>
          </w:p>
        </w:tc>
        <w:tc>
          <w:tcPr>
            <w:tcW w:w="1036" w:type="pct"/>
            <w:vAlign w:val="center"/>
          </w:tcPr>
          <w:p>
            <w:pPr>
              <w:keepNext/>
              <w:keepLines/>
              <w:snapToGrid w:val="0"/>
              <w:spacing w:line="320" w:lineRule="exact"/>
              <w:rPr>
                <w:rFonts w:ascii="Times New Roman" w:hAnsi="Times New Roman" w:cs="Times New Roman"/>
                <w:sz w:val="24"/>
              </w:rPr>
            </w:pPr>
          </w:p>
        </w:tc>
        <w:tc>
          <w:tcPr>
            <w:tcW w:w="1912" w:type="pct"/>
            <w:vAlign w:val="center"/>
          </w:tcPr>
          <w:p>
            <w:pPr>
              <w:keepNext/>
              <w:keepLines/>
              <w:snapToGrid w:val="0"/>
              <w:spacing w:line="32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ind w:firstLine="240" w:firstLineChars="100"/>
              <w:rPr>
                <w:rFonts w:ascii="Times New Roman" w:hAnsi="Times New Roman" w:cs="Times New Roman"/>
                <w:sz w:val="24"/>
              </w:rPr>
            </w:pPr>
            <w:r>
              <w:rPr>
                <w:rFonts w:ascii="Times New Roman" w:hAnsi="Times New Roman" w:cs="Times New Roman"/>
                <w:sz w:val="24"/>
              </w:rPr>
              <w:t>钢结构</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50</w:t>
            </w:r>
          </w:p>
        </w:tc>
        <w:tc>
          <w:tcPr>
            <w:tcW w:w="1912" w:type="pct"/>
          </w:tcPr>
          <w:p>
            <w:pPr>
              <w:keepNext/>
              <w:keepLines/>
              <w:spacing w:line="320" w:lineRule="exact"/>
              <w:ind w:right="-874"/>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ind w:firstLine="240" w:firstLineChars="100"/>
              <w:rPr>
                <w:rFonts w:ascii="Times New Roman" w:hAnsi="Times New Roman" w:cs="Times New Roman"/>
                <w:sz w:val="24"/>
              </w:rPr>
            </w:pPr>
            <w:r>
              <w:rPr>
                <w:rFonts w:ascii="Times New Roman" w:hAnsi="Times New Roman" w:cs="Times New Roman"/>
                <w:sz w:val="24"/>
              </w:rPr>
              <w:t>钢筋混凝土结构</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50</w:t>
            </w:r>
          </w:p>
        </w:tc>
        <w:tc>
          <w:tcPr>
            <w:tcW w:w="1912" w:type="pct"/>
          </w:tcPr>
          <w:p>
            <w:pPr>
              <w:keepNext/>
              <w:keepLines/>
              <w:spacing w:line="320" w:lineRule="exact"/>
              <w:ind w:right="-874"/>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ind w:firstLine="240" w:firstLineChars="100"/>
              <w:rPr>
                <w:rFonts w:ascii="Times New Roman" w:hAnsi="Times New Roman" w:cs="Times New Roman"/>
                <w:sz w:val="24"/>
              </w:rPr>
            </w:pPr>
            <w:r>
              <w:rPr>
                <w:rFonts w:ascii="Times New Roman" w:hAnsi="Times New Roman" w:cs="Times New Roman"/>
                <w:sz w:val="24"/>
              </w:rPr>
              <w:t>砖混结构</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30</w:t>
            </w:r>
          </w:p>
        </w:tc>
        <w:tc>
          <w:tcPr>
            <w:tcW w:w="1912" w:type="pct"/>
          </w:tcPr>
          <w:p>
            <w:pPr>
              <w:keepNext/>
              <w:keepLines/>
              <w:spacing w:line="320" w:lineRule="exact"/>
              <w:ind w:right="-874"/>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ind w:firstLine="240" w:firstLineChars="100"/>
              <w:rPr>
                <w:rFonts w:ascii="Times New Roman" w:hAnsi="Times New Roman" w:cs="Times New Roman"/>
                <w:sz w:val="24"/>
              </w:rPr>
            </w:pPr>
            <w:r>
              <w:rPr>
                <w:rFonts w:ascii="Times New Roman" w:hAnsi="Times New Roman" w:cs="Times New Roman"/>
                <w:sz w:val="24"/>
              </w:rPr>
              <w:t>砖木结构</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30</w:t>
            </w:r>
          </w:p>
        </w:tc>
        <w:tc>
          <w:tcPr>
            <w:tcW w:w="1912" w:type="pct"/>
          </w:tcPr>
          <w:p>
            <w:pPr>
              <w:keepNext/>
              <w:keepLines/>
              <w:spacing w:line="320" w:lineRule="exact"/>
              <w:ind w:right="-874"/>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2.简易房</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8</w:t>
            </w:r>
          </w:p>
        </w:tc>
        <w:tc>
          <w:tcPr>
            <w:tcW w:w="1912" w:type="pct"/>
            <w:vAlign w:val="center"/>
          </w:tcPr>
          <w:p>
            <w:pPr>
              <w:snapToGrid w:val="0"/>
              <w:spacing w:line="32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3.房屋附属设施</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8</w:t>
            </w:r>
          </w:p>
        </w:tc>
        <w:tc>
          <w:tcPr>
            <w:tcW w:w="191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围墙、停车设施等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4.构筑物</w:t>
            </w:r>
          </w:p>
        </w:tc>
        <w:tc>
          <w:tcPr>
            <w:tcW w:w="1036" w:type="pct"/>
            <w:vAlign w:val="center"/>
          </w:tcPr>
          <w:p>
            <w:pPr>
              <w:spacing w:line="320" w:lineRule="exact"/>
              <w:jc w:val="center"/>
              <w:rPr>
                <w:rFonts w:ascii="Times New Roman" w:hAnsi="Times New Roman" w:cs="Times New Roman"/>
                <w:sz w:val="24"/>
              </w:rPr>
            </w:pPr>
            <w:r>
              <w:rPr>
                <w:rFonts w:ascii="Times New Roman" w:hAnsi="Times New Roman" w:cs="Times New Roman"/>
                <w:sz w:val="24"/>
              </w:rPr>
              <w:t>8</w:t>
            </w:r>
          </w:p>
        </w:tc>
        <w:tc>
          <w:tcPr>
            <w:tcW w:w="1912" w:type="pct"/>
            <w:vAlign w:val="center"/>
          </w:tcPr>
          <w:p>
            <w:pPr>
              <w:snapToGrid w:val="0"/>
              <w:spacing w:line="320" w:lineRule="exact"/>
              <w:rPr>
                <w:rFonts w:ascii="Times New Roman" w:hAnsi="Times New Roman" w:cs="Times New Roman"/>
                <w:sz w:val="24"/>
              </w:rPr>
            </w:pPr>
            <w:r>
              <w:rPr>
                <w:rFonts w:ascii="Times New Roman" w:hAnsi="Times New Roman" w:cs="Times New Roman"/>
                <w:sz w:val="24"/>
              </w:rPr>
              <w:t>池、罐、槽、塔等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3"/>
            <w:vAlign w:val="center"/>
          </w:tcPr>
          <w:p>
            <w:pPr>
              <w:snapToGrid w:val="0"/>
              <w:spacing w:line="320" w:lineRule="exact"/>
              <w:rPr>
                <w:rFonts w:ascii="Times New Roman" w:hAnsi="Times New Roman" w:cs="Times New Roman"/>
                <w:sz w:val="24"/>
              </w:rPr>
            </w:pPr>
            <w:r>
              <w:rPr>
                <w:rFonts w:ascii="Times New Roman" w:hAnsi="Times New Roman" w:cs="Times New Roman"/>
                <w:b/>
                <w:sz w:val="24"/>
              </w:rPr>
              <w:t>二、通用设备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1.计算机设备</w:t>
            </w:r>
          </w:p>
        </w:tc>
        <w:tc>
          <w:tcPr>
            <w:tcW w:w="1036" w:type="pct"/>
            <w:vAlign w:val="center"/>
          </w:tcPr>
          <w:p>
            <w:pPr>
              <w:jc w:val="center"/>
              <w:rPr>
                <w:rFonts w:ascii="Times New Roman" w:hAnsi="Times New Roman" w:cs="Times New Roman"/>
                <w:sz w:val="24"/>
              </w:rPr>
            </w:pPr>
            <w:r>
              <w:rPr>
                <w:rFonts w:ascii="Times New Roman" w:hAnsi="Times New Roman" w:cs="Times New Roman"/>
                <w:sz w:val="24"/>
              </w:rPr>
              <w:t>6</w:t>
            </w:r>
          </w:p>
          <w:p>
            <w:pPr>
              <w:jc w:val="center"/>
              <w:rPr>
                <w:rFonts w:ascii="Times New Roman" w:hAnsi="Times New Roman" w:cs="Times New Roman"/>
                <w:sz w:val="24"/>
              </w:rPr>
            </w:pPr>
          </w:p>
        </w:tc>
        <w:tc>
          <w:tcPr>
            <w:tcW w:w="1912" w:type="pct"/>
            <w:vAlign w:val="center"/>
          </w:tcPr>
          <w:p>
            <w:pPr>
              <w:snapToGrid w:val="0"/>
              <w:spacing w:line="400" w:lineRule="exact"/>
              <w:rPr>
                <w:rFonts w:ascii="Times New Roman" w:hAnsi="Times New Roman" w:cs="Times New Roman"/>
                <w:sz w:val="24"/>
              </w:rPr>
            </w:pPr>
            <w:r>
              <w:rPr>
                <w:rFonts w:ascii="Times New Roman" w:hAnsi="Times New Roman" w:cs="Times New Roman"/>
                <w:sz w:val="24"/>
              </w:rPr>
              <w:t>计算机、网络设备、安全设备、终端设备、存储设备等</w:t>
            </w:r>
          </w:p>
          <w:p>
            <w:pPr>
              <w:snapToGrid w:val="0"/>
              <w:spacing w:line="4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2.办公设备</w:t>
            </w:r>
          </w:p>
        </w:tc>
        <w:tc>
          <w:tcPr>
            <w:tcW w:w="1036" w:type="pct"/>
            <w:vAlign w:val="center"/>
          </w:tcPr>
          <w:p>
            <w:pPr>
              <w:jc w:val="center"/>
              <w:rPr>
                <w:rFonts w:ascii="Times New Roman" w:hAnsi="Times New Roman" w:cs="Times New Roman"/>
                <w:sz w:val="24"/>
              </w:rPr>
            </w:pPr>
            <w:r>
              <w:rPr>
                <w:rFonts w:ascii="Times New Roman" w:hAnsi="Times New Roman" w:cs="Times New Roman"/>
                <w:sz w:val="24"/>
              </w:rPr>
              <w:t>6</w:t>
            </w:r>
          </w:p>
        </w:tc>
        <w:tc>
          <w:tcPr>
            <w:tcW w:w="1912" w:type="pct"/>
          </w:tcPr>
          <w:p>
            <w:pPr>
              <w:snapToGrid w:val="0"/>
              <w:spacing w:line="400" w:lineRule="exact"/>
              <w:rPr>
                <w:rFonts w:ascii="Times New Roman" w:hAnsi="Times New Roman" w:cs="Times New Roman"/>
                <w:sz w:val="24"/>
              </w:rPr>
            </w:pPr>
            <w:r>
              <w:rPr>
                <w:rFonts w:ascii="Times New Roman" w:hAnsi="Times New Roman" w:cs="Times New Roman"/>
                <w:sz w:val="24"/>
              </w:rPr>
              <w:t>电话机、传真机、摄像机、刻录机等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3.车辆</w:t>
            </w:r>
          </w:p>
        </w:tc>
        <w:tc>
          <w:tcPr>
            <w:tcW w:w="1036" w:type="pct"/>
            <w:vAlign w:val="center"/>
          </w:tcPr>
          <w:p>
            <w:pPr>
              <w:tabs>
                <w:tab w:val="center" w:pos="4153"/>
                <w:tab w:val="right" w:pos="8306"/>
              </w:tabs>
              <w:snapToGrid w:val="0"/>
              <w:jc w:val="center"/>
              <w:rPr>
                <w:rFonts w:ascii="Times New Roman" w:hAnsi="Times New Roman" w:cs="Times New Roman"/>
                <w:sz w:val="24"/>
              </w:rPr>
            </w:pPr>
            <w:r>
              <w:rPr>
                <w:rFonts w:ascii="Times New Roman" w:hAnsi="Times New Roman" w:cs="Times New Roman"/>
                <w:sz w:val="24"/>
              </w:rPr>
              <w:t>8</w:t>
            </w:r>
          </w:p>
        </w:tc>
        <w:tc>
          <w:tcPr>
            <w:tcW w:w="1912" w:type="pct"/>
          </w:tcPr>
          <w:p>
            <w:pPr>
              <w:tabs>
                <w:tab w:val="center" w:pos="4153"/>
                <w:tab w:val="right" w:pos="8306"/>
              </w:tabs>
              <w:snapToGrid w:val="0"/>
              <w:spacing w:line="400" w:lineRule="exact"/>
              <w:rPr>
                <w:rFonts w:ascii="Times New Roman" w:hAnsi="Times New Roman" w:cs="Times New Roman"/>
                <w:sz w:val="24"/>
              </w:rPr>
            </w:pPr>
            <w:r>
              <w:rPr>
                <w:rFonts w:ascii="Times New Roman" w:hAnsi="Times New Roman" w:cs="Times New Roman"/>
                <w:sz w:val="24"/>
              </w:rPr>
              <w:t>载货汽车、牵引汽车、乘用车、专用车辆等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4.图书档案设备</w:t>
            </w:r>
          </w:p>
        </w:tc>
        <w:tc>
          <w:tcPr>
            <w:tcW w:w="1036" w:type="pct"/>
            <w:vAlign w:val="center"/>
          </w:tcPr>
          <w:p>
            <w:pPr>
              <w:tabs>
                <w:tab w:val="center" w:pos="4153"/>
                <w:tab w:val="right" w:pos="8306"/>
              </w:tabs>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tabs>
                <w:tab w:val="center" w:pos="4153"/>
                <w:tab w:val="right" w:pos="8306"/>
              </w:tabs>
              <w:snapToGrid w:val="0"/>
              <w:spacing w:line="4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5.机械设备</w:t>
            </w:r>
          </w:p>
        </w:tc>
        <w:tc>
          <w:tcPr>
            <w:tcW w:w="1036" w:type="pct"/>
            <w:vAlign w:val="center"/>
          </w:tcPr>
          <w:p>
            <w:pPr>
              <w:tabs>
                <w:tab w:val="center" w:pos="4153"/>
                <w:tab w:val="right" w:pos="8306"/>
              </w:tabs>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tabs>
                <w:tab w:val="center" w:pos="4153"/>
                <w:tab w:val="right" w:pos="8306"/>
              </w:tabs>
              <w:snapToGrid w:val="0"/>
              <w:spacing w:line="400" w:lineRule="exact"/>
              <w:rPr>
                <w:rFonts w:ascii="Times New Roman" w:hAnsi="Times New Roman" w:cs="Times New Roman"/>
                <w:sz w:val="24"/>
              </w:rPr>
            </w:pPr>
            <w:r>
              <w:rPr>
                <w:rFonts w:ascii="Times New Roman" w:hAnsi="Times New Roman" w:cs="Times New Roman"/>
                <w:sz w:val="24"/>
              </w:rPr>
              <w:t>锅炉、液压机械、金属加工设备、泵、风机、气体压缩机、气体分离及液化设备、分离及干燥设备等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052" w:type="pct"/>
            <w:vAlign w:val="center"/>
          </w:tcPr>
          <w:p>
            <w:pPr>
              <w:snapToGrid w:val="0"/>
              <w:spacing w:line="400" w:lineRule="atLeast"/>
              <w:rPr>
                <w:rFonts w:ascii="Times New Roman" w:hAnsi="Times New Roman" w:cs="Times New Roman"/>
                <w:sz w:val="24"/>
              </w:rPr>
            </w:pPr>
            <w:r>
              <w:rPr>
                <w:rFonts w:ascii="Times New Roman" w:hAnsi="Times New Roman" w:cs="Times New Roman"/>
                <w:sz w:val="24"/>
              </w:rPr>
              <w:t>6.电气设备</w:t>
            </w:r>
          </w:p>
        </w:tc>
        <w:tc>
          <w:tcPr>
            <w:tcW w:w="1036" w:type="pct"/>
            <w:vAlign w:val="center"/>
          </w:tcPr>
          <w:p>
            <w:pPr>
              <w:tabs>
                <w:tab w:val="center" w:pos="4153"/>
                <w:tab w:val="right" w:pos="8306"/>
              </w:tabs>
              <w:snapToGrid w:val="0"/>
              <w:jc w:val="center"/>
              <w:rPr>
                <w:rFonts w:ascii="Times New Roman" w:hAnsi="Times New Roman" w:cs="Times New Roman"/>
                <w:sz w:val="24"/>
              </w:rPr>
            </w:pPr>
            <w:r>
              <w:rPr>
                <w:rFonts w:ascii="Times New Roman" w:hAnsi="Times New Roman" w:cs="Times New Roman"/>
                <w:sz w:val="24"/>
              </w:rPr>
              <w:t>5</w:t>
            </w:r>
          </w:p>
        </w:tc>
        <w:tc>
          <w:tcPr>
            <w:tcW w:w="1912" w:type="pct"/>
            <w:vAlign w:val="center"/>
          </w:tcPr>
          <w:p>
            <w:pPr>
              <w:tabs>
                <w:tab w:val="center" w:pos="4153"/>
                <w:tab w:val="right" w:pos="8306"/>
              </w:tabs>
              <w:snapToGrid w:val="0"/>
              <w:spacing w:line="400" w:lineRule="exact"/>
              <w:rPr>
                <w:rFonts w:ascii="Times New Roman" w:hAnsi="Times New Roman" w:cs="Times New Roman"/>
                <w:b/>
                <w:sz w:val="24"/>
              </w:rPr>
            </w:pPr>
            <w:r>
              <w:rPr>
                <w:rFonts w:ascii="Times New Roman" w:hAnsi="Times New Roman" w:cs="Times New Roman"/>
                <w:sz w:val="24"/>
              </w:rPr>
              <w:t>电机、变压器、电源设备、生活用电器等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00" w:lineRule="exact"/>
              <w:rPr>
                <w:rFonts w:ascii="Times New Roman" w:hAnsi="Times New Roman" w:cs="Times New Roman"/>
                <w:sz w:val="24"/>
              </w:rPr>
            </w:pPr>
            <w:r>
              <w:rPr>
                <w:rFonts w:ascii="Times New Roman" w:hAnsi="Times New Roman" w:cs="Times New Roman"/>
                <w:sz w:val="24"/>
              </w:rPr>
              <w:t>7.雷达、无线电和卫星导航设备</w:t>
            </w:r>
          </w:p>
        </w:tc>
        <w:tc>
          <w:tcPr>
            <w:tcW w:w="1036" w:type="pct"/>
            <w:vAlign w:val="center"/>
          </w:tcPr>
          <w:p>
            <w:pPr>
              <w:tabs>
                <w:tab w:val="center" w:pos="4153"/>
                <w:tab w:val="right" w:pos="8306"/>
              </w:tabs>
              <w:snapToGrid w:val="0"/>
              <w:spacing w:line="300" w:lineRule="exact"/>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spacing w:line="3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52" w:type="pct"/>
            <w:vAlign w:val="center"/>
          </w:tcPr>
          <w:p>
            <w:pPr>
              <w:snapToGrid w:val="0"/>
              <w:spacing w:line="300" w:lineRule="exact"/>
              <w:rPr>
                <w:rFonts w:ascii="Times New Roman" w:hAnsi="Times New Roman" w:cs="Times New Roman"/>
                <w:sz w:val="24"/>
              </w:rPr>
            </w:pPr>
            <w:r>
              <w:rPr>
                <w:rFonts w:ascii="Times New Roman" w:hAnsi="Times New Roman" w:cs="Times New Roman"/>
                <w:sz w:val="24"/>
              </w:rPr>
              <w:t>8.通信设备、广播、电视、电影设备</w:t>
            </w:r>
          </w:p>
        </w:tc>
        <w:tc>
          <w:tcPr>
            <w:tcW w:w="1036" w:type="pct"/>
            <w:vAlign w:val="center"/>
          </w:tcPr>
          <w:p>
            <w:pPr>
              <w:spacing w:line="300" w:lineRule="exact"/>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spacing w:line="3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052" w:type="pct"/>
            <w:vAlign w:val="center"/>
          </w:tcPr>
          <w:p>
            <w:pPr>
              <w:snapToGrid w:val="0"/>
              <w:spacing w:line="300" w:lineRule="exact"/>
              <w:rPr>
                <w:rFonts w:ascii="Times New Roman" w:hAnsi="Times New Roman" w:cs="Times New Roman"/>
                <w:sz w:val="24"/>
              </w:rPr>
            </w:pPr>
            <w:r>
              <w:rPr>
                <w:rFonts w:ascii="Times New Roman" w:hAnsi="Times New Roman" w:cs="Times New Roman"/>
                <w:sz w:val="24"/>
              </w:rPr>
              <w:t>9.仪器仪表、电子和通信测量仪器、计量标准器具及量具、衡器</w:t>
            </w:r>
          </w:p>
        </w:tc>
        <w:tc>
          <w:tcPr>
            <w:tcW w:w="1036" w:type="pct"/>
            <w:vAlign w:val="center"/>
          </w:tcPr>
          <w:p>
            <w:pPr>
              <w:spacing w:line="300" w:lineRule="exact"/>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spacing w:line="3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spacing w:line="300" w:lineRule="exact"/>
              <w:rPr>
                <w:rFonts w:ascii="Times New Roman" w:hAnsi="Times New Roman" w:cs="Times New Roman"/>
                <w:sz w:val="24"/>
              </w:rPr>
            </w:pPr>
            <w:r>
              <w:rPr>
                <w:rFonts w:ascii="Times New Roman" w:hAnsi="Times New Roman" w:cs="Times New Roman"/>
                <w:sz w:val="24"/>
              </w:rPr>
              <w:t>10.除上述以外其他通用设备</w:t>
            </w:r>
          </w:p>
        </w:tc>
        <w:tc>
          <w:tcPr>
            <w:tcW w:w="1036" w:type="pct"/>
            <w:vAlign w:val="center"/>
          </w:tcPr>
          <w:p>
            <w:pPr>
              <w:spacing w:line="300" w:lineRule="exact"/>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spacing w:line="3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3"/>
            <w:vAlign w:val="center"/>
          </w:tcPr>
          <w:p>
            <w:pPr>
              <w:snapToGrid w:val="0"/>
              <w:spacing w:line="400" w:lineRule="exact"/>
              <w:ind w:right="-874"/>
              <w:rPr>
                <w:rFonts w:ascii="Times New Roman" w:hAnsi="Times New Roman" w:cs="Times New Roman"/>
                <w:sz w:val="24"/>
              </w:rPr>
            </w:pPr>
            <w:r>
              <w:rPr>
                <w:rFonts w:ascii="Times New Roman" w:hAnsi="Times New Roman" w:cs="Times New Roman"/>
                <w:b/>
                <w:sz w:val="24"/>
              </w:rPr>
              <w:t>三、专用设备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1.探矿、采矿、选矿和造块设备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2.石油天然气开采专用设备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3.石油和化学工业专用设备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4.炼焦和金属冶炼轧制设备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5.电力工业专用设备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20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6.核工业专用设备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20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7.航空航天工业专用设备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20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8.非金属矿物制品工业专用设备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9.工程机械</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vAlign w:val="center"/>
          </w:tcPr>
          <w:p>
            <w:pPr>
              <w:keepNext/>
              <w:keepLines/>
              <w:ind w:left="-720" w:right="-873" w:firstLine="766"/>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10.农业和林业机械</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11.木材采集和加工设备</w:t>
            </w:r>
          </w:p>
        </w:tc>
        <w:tc>
          <w:tcPr>
            <w:tcW w:w="1036" w:type="pct"/>
            <w:vAlign w:val="center"/>
          </w:tcPr>
          <w:p>
            <w:pPr>
              <w:tabs>
                <w:tab w:val="center" w:pos="4153"/>
                <w:tab w:val="right" w:pos="8306"/>
              </w:tabs>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12.食品加工专用设备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13.饮料加工设备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14.烟草加工设备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15.粮油作物和饲料加工设备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16.纺织设备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17.缝纫、服饰、制革和毛皮加工设备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18.造纸和印刷机械</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19.化学药品和中药专用设备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20.医疗设备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21.电工、电子专用生产设备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22.安全生产设备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23.邮政专用设备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24.环境污染防治设备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25.公安专用设备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3</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26.水工机械</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27.殡葬设备及用品</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28.铁路运输设备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29.水上交通运输设备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30.航空器及其配套设备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10</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31.专用仪器仪表</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32.文艺设备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33.体育设备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34.娱乐设备</w:t>
            </w:r>
          </w:p>
        </w:tc>
        <w:tc>
          <w:tcPr>
            <w:tcW w:w="1036" w:type="pct"/>
            <w:vAlign w:val="center"/>
          </w:tcPr>
          <w:p>
            <w:pPr>
              <w:snapToGrid w:val="0"/>
              <w:jc w:val="center"/>
              <w:rPr>
                <w:rFonts w:ascii="Times New Roman" w:hAnsi="Times New Roman" w:cs="Times New Roman"/>
                <w:sz w:val="24"/>
              </w:rPr>
            </w:pPr>
            <w:r>
              <w:rPr>
                <w:rFonts w:ascii="Times New Roman" w:hAnsi="Times New Roman" w:cs="Times New Roman"/>
                <w:sz w:val="24"/>
              </w:rPr>
              <w:t>5</w:t>
            </w:r>
          </w:p>
        </w:tc>
        <w:tc>
          <w:tcPr>
            <w:tcW w:w="1912" w:type="pct"/>
          </w:tcPr>
          <w:p>
            <w:pPr>
              <w:keepNext/>
              <w:keepLines/>
              <w:ind w:right="-873"/>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52" w:type="pct"/>
            <w:vAlign w:val="center"/>
          </w:tcPr>
          <w:p>
            <w:pPr>
              <w:snapToGrid w:val="0"/>
              <w:rPr>
                <w:rFonts w:ascii="Times New Roman" w:hAnsi="Times New Roman" w:cs="Times New Roman"/>
                <w:b/>
                <w:sz w:val="24"/>
              </w:rPr>
            </w:pPr>
            <w:r>
              <w:rPr>
                <w:rFonts w:ascii="Times New Roman" w:hAnsi="Times New Roman" w:cs="Times New Roman"/>
                <w:b/>
                <w:sz w:val="24"/>
              </w:rPr>
              <w:t>四、家具、用具、装具</w:t>
            </w:r>
          </w:p>
        </w:tc>
        <w:tc>
          <w:tcPr>
            <w:tcW w:w="1036" w:type="pct"/>
            <w:vAlign w:val="center"/>
          </w:tcPr>
          <w:p>
            <w:pPr>
              <w:ind w:firstLine="720" w:firstLineChars="300"/>
              <w:rPr>
                <w:rFonts w:ascii="Times New Roman" w:hAnsi="Times New Roman" w:cs="Times New Roman"/>
                <w:sz w:val="24"/>
              </w:rPr>
            </w:pPr>
          </w:p>
        </w:tc>
        <w:tc>
          <w:tcPr>
            <w:tcW w:w="1912" w:type="pct"/>
          </w:tcPr>
          <w:p>
            <w:pPr>
              <w:snapToGrid w:val="0"/>
              <w:spacing w:line="4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1.家具</w:t>
            </w:r>
          </w:p>
        </w:tc>
        <w:tc>
          <w:tcPr>
            <w:tcW w:w="1036" w:type="pct"/>
            <w:vAlign w:val="center"/>
          </w:tcPr>
          <w:p>
            <w:pPr>
              <w:jc w:val="center"/>
              <w:rPr>
                <w:rFonts w:ascii="Times New Roman" w:hAnsi="Times New Roman" w:cs="Times New Roman"/>
                <w:sz w:val="24"/>
              </w:rPr>
            </w:pPr>
            <w:r>
              <w:rPr>
                <w:rFonts w:ascii="Times New Roman" w:hAnsi="Times New Roman" w:cs="Times New Roman"/>
                <w:sz w:val="24"/>
              </w:rPr>
              <w:t>15</w:t>
            </w:r>
          </w:p>
        </w:tc>
        <w:tc>
          <w:tcPr>
            <w:tcW w:w="1912" w:type="pct"/>
          </w:tcPr>
          <w:p>
            <w:pPr>
              <w:snapToGrid w:val="0"/>
              <w:spacing w:line="4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52" w:type="pct"/>
            <w:vAlign w:val="center"/>
          </w:tcPr>
          <w:p>
            <w:pPr>
              <w:snapToGrid w:val="0"/>
              <w:rPr>
                <w:rFonts w:ascii="Times New Roman" w:hAnsi="Times New Roman" w:cs="Times New Roman"/>
                <w:sz w:val="24"/>
              </w:rPr>
            </w:pPr>
            <w:r>
              <w:rPr>
                <w:rFonts w:hint="eastAsia" w:ascii="Times New Roman" w:hAnsi="Times New Roman" w:cs="Times New Roman"/>
                <w:sz w:val="24"/>
              </w:rPr>
              <w:t xml:space="preserve"> 其中：学生用家具</w:t>
            </w:r>
          </w:p>
        </w:tc>
        <w:tc>
          <w:tcPr>
            <w:tcW w:w="1036" w:type="pct"/>
            <w:vAlign w:val="center"/>
          </w:tcPr>
          <w:p>
            <w:pPr>
              <w:jc w:val="center"/>
              <w:rPr>
                <w:rFonts w:ascii="Times New Roman" w:hAnsi="Times New Roman" w:cs="Times New Roman"/>
                <w:sz w:val="24"/>
              </w:rPr>
            </w:pPr>
            <w:r>
              <w:rPr>
                <w:rFonts w:hint="eastAsia" w:ascii="Times New Roman" w:hAnsi="Times New Roman" w:cs="Times New Roman"/>
                <w:sz w:val="24"/>
              </w:rPr>
              <w:t>5</w:t>
            </w:r>
          </w:p>
        </w:tc>
        <w:tc>
          <w:tcPr>
            <w:tcW w:w="1912" w:type="pct"/>
          </w:tcPr>
          <w:p>
            <w:pPr>
              <w:snapToGrid w:val="0"/>
              <w:spacing w:line="400" w:lineRule="exact"/>
              <w:rPr>
                <w:rFonts w:ascii="Times New Roman" w:hAnsi="Times New Roman" w:cs="Times New Roman"/>
                <w:sz w:val="24"/>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52" w:type="pct"/>
            <w:vAlign w:val="center"/>
          </w:tcPr>
          <w:p>
            <w:pPr>
              <w:snapToGrid w:val="0"/>
              <w:rPr>
                <w:rFonts w:ascii="Times New Roman" w:hAnsi="Times New Roman" w:cs="Times New Roman"/>
                <w:sz w:val="24"/>
              </w:rPr>
            </w:pPr>
            <w:r>
              <w:rPr>
                <w:rFonts w:ascii="Times New Roman" w:hAnsi="Times New Roman" w:cs="Times New Roman"/>
                <w:sz w:val="24"/>
              </w:rPr>
              <w:t>2.用具、装具</w:t>
            </w:r>
          </w:p>
        </w:tc>
        <w:tc>
          <w:tcPr>
            <w:tcW w:w="1036" w:type="pct"/>
            <w:vAlign w:val="center"/>
          </w:tcPr>
          <w:p>
            <w:pPr>
              <w:jc w:val="center"/>
              <w:rPr>
                <w:rFonts w:ascii="Times New Roman" w:hAnsi="Times New Roman" w:cs="Times New Roman"/>
                <w:sz w:val="24"/>
              </w:rPr>
            </w:pPr>
            <w:r>
              <w:rPr>
                <w:rFonts w:ascii="Times New Roman" w:hAnsi="Times New Roman" w:cs="Times New Roman"/>
                <w:sz w:val="24"/>
              </w:rPr>
              <w:t>5</w:t>
            </w:r>
          </w:p>
        </w:tc>
        <w:tc>
          <w:tcPr>
            <w:tcW w:w="1912" w:type="pct"/>
          </w:tcPr>
          <w:p>
            <w:pPr>
              <w:snapToGrid w:val="0"/>
              <w:spacing w:line="400" w:lineRule="exact"/>
              <w:rPr>
                <w:rFonts w:ascii="Times New Roman" w:hAnsi="Times New Roman" w:cs="Times New Roman"/>
                <w:sz w:val="24"/>
              </w:rPr>
            </w:pPr>
          </w:p>
        </w:tc>
      </w:tr>
    </w:tbl>
    <w:p>
      <w:pPr>
        <w:pStyle w:val="2"/>
        <w:ind w:left="0" w:leftChars="0" w:firstLine="0" w:firstLineChars="0"/>
        <w:rPr>
          <w:rFonts w:hint="default"/>
          <w:lang w:val="en-US" w:eastAsia="zh-CN"/>
        </w:rPr>
      </w:pPr>
      <w:r>
        <w:rPr>
          <w:rFonts w:hint="eastAsia" w:ascii="仿宋_GB2312" w:hAnsi="Arial" w:eastAsia="仿宋_GB2312" w:cs="Arial"/>
          <w:color w:val="000000"/>
          <w:sz w:val="32"/>
          <w:szCs w:val="32"/>
          <w:shd w:val="clear" w:color="auto" w:fill="FFFFFF"/>
          <w:lang w:val="en-US" w:eastAsia="zh-CN"/>
        </w:rPr>
        <w:t>注：</w:t>
      </w:r>
      <w:r>
        <w:rPr>
          <w:rFonts w:hint="eastAsia" w:ascii="仿宋_GB2312" w:hAnsi="Arial" w:eastAsia="仿宋_GB2312" w:cs="Arial"/>
          <w:color w:val="000000"/>
          <w:sz w:val="32"/>
          <w:szCs w:val="32"/>
          <w:shd w:val="clear" w:color="auto" w:fill="FFFFFF"/>
        </w:rPr>
        <w:t>文物和陈列品、图书、档案、动植物等不计提折旧</w:t>
      </w:r>
      <w:r>
        <w:rPr>
          <w:rFonts w:hint="eastAsia" w:ascii="仿宋_GB2312" w:hAnsi="Arial" w:eastAsia="仿宋_GB2312" w:cs="Arial"/>
          <w:color w:val="000000"/>
          <w:sz w:val="32"/>
          <w:szCs w:val="32"/>
          <w:shd w:val="clear" w:color="auto" w:fill="FFFFFF"/>
          <w:lang w:eastAsia="zh-CN"/>
        </w:rPr>
        <w:t>。</w:t>
      </w:r>
    </w:p>
    <w:p>
      <w:pPr>
        <w:rPr>
          <w:rFonts w:hint="eastAsia" w:ascii="仿宋_GB2312" w:hAnsi="仿宋_GB2312" w:eastAsia="仿宋_GB2312" w:cs="仿宋_GB2312"/>
          <w:b w:val="0"/>
          <w:bCs w:val="0"/>
          <w:i w:val="0"/>
          <w:caps w:val="0"/>
          <w:color w:val="333333"/>
          <w:spacing w:val="0"/>
          <w:kern w:val="0"/>
          <w:sz w:val="32"/>
          <w:szCs w:val="32"/>
          <w:lang w:val="en-US" w:eastAsia="zh-CN" w:bidi="ar"/>
        </w:rPr>
      </w:pPr>
      <w:r>
        <w:rPr>
          <w:rFonts w:hint="eastAsia" w:ascii="仿宋_GB2312" w:hAnsi="仿宋_GB2312" w:eastAsia="仿宋_GB2312" w:cs="仿宋_GB2312"/>
          <w:b w:val="0"/>
          <w:bCs w:val="0"/>
          <w:i w:val="0"/>
          <w:caps w:val="0"/>
          <w:color w:val="333333"/>
          <w:spacing w:val="0"/>
          <w:kern w:val="0"/>
          <w:sz w:val="32"/>
          <w:szCs w:val="32"/>
          <w:lang w:val="en-US" w:eastAsia="zh-CN" w:bidi="ar"/>
        </w:rPr>
        <w:br w:type="page"/>
      </w:r>
    </w:p>
    <w:p>
      <w:pPr>
        <w:keepNext w:val="0"/>
        <w:keepLines w:val="0"/>
        <w:pageBreakBefore w:val="0"/>
        <w:widowControl/>
        <w:kinsoku/>
        <w:wordWrap/>
        <w:overflowPunct/>
        <w:topLinePunct w:val="0"/>
        <w:autoSpaceDE/>
        <w:autoSpaceDN/>
        <w:bidi w:val="0"/>
        <w:adjustRightInd/>
        <w:snapToGrid/>
        <w:spacing w:beforeLines="25" w:afterLines="25" w:line="360" w:lineRule="exact"/>
        <w:jc w:val="center"/>
        <w:textAlignment w:val="auto"/>
        <w:rPr>
          <w:rFonts w:hint="eastAsia" w:ascii="黑体" w:hAnsi="宋体" w:eastAsia="黑体" w:cs="宋体"/>
          <w:kern w:val="0"/>
          <w:sz w:val="32"/>
          <w:szCs w:val="32"/>
          <w:lang w:val="en-US" w:eastAsia="zh-CN"/>
        </w:rPr>
      </w:pPr>
      <w:r>
        <w:rPr>
          <w:rFonts w:hint="eastAsia" w:ascii="黑体" w:hAnsi="宋体" w:eastAsia="黑体" w:cs="宋体"/>
          <w:kern w:val="0"/>
          <w:sz w:val="32"/>
          <w:szCs w:val="32"/>
        </w:rPr>
        <w:t>福建省省级行政事业单位通用办公设备</w:t>
      </w:r>
      <w:r>
        <w:rPr>
          <w:rFonts w:hint="eastAsia" w:ascii="黑体" w:hAnsi="宋体" w:eastAsia="黑体" w:cs="宋体"/>
          <w:kern w:val="0"/>
          <w:sz w:val="32"/>
          <w:szCs w:val="32"/>
          <w:lang w:val="en-US" w:eastAsia="zh-CN"/>
        </w:rPr>
        <w:t>和办公家具</w:t>
      </w:r>
    </w:p>
    <w:p>
      <w:pPr>
        <w:keepNext w:val="0"/>
        <w:keepLines w:val="0"/>
        <w:pageBreakBefore w:val="0"/>
        <w:widowControl/>
        <w:kinsoku/>
        <w:wordWrap/>
        <w:overflowPunct/>
        <w:topLinePunct w:val="0"/>
        <w:autoSpaceDE/>
        <w:autoSpaceDN/>
        <w:bidi w:val="0"/>
        <w:adjustRightInd/>
        <w:snapToGrid/>
        <w:spacing w:beforeLines="25" w:afterLines="25" w:line="360" w:lineRule="exact"/>
        <w:jc w:val="center"/>
        <w:textAlignment w:val="auto"/>
        <w:rPr>
          <w:rFonts w:hint="eastAsia" w:ascii="黑体" w:hAnsi="宋体" w:eastAsia="黑体" w:cs="宋体"/>
          <w:kern w:val="0"/>
          <w:sz w:val="32"/>
          <w:szCs w:val="32"/>
          <w:lang w:val="en-US" w:eastAsia="zh-CN"/>
        </w:rPr>
      </w:pPr>
      <w:r>
        <w:rPr>
          <w:rFonts w:hint="eastAsia" w:ascii="黑体" w:hAnsi="宋体" w:eastAsia="黑体" w:cs="宋体"/>
          <w:kern w:val="0"/>
          <w:sz w:val="32"/>
          <w:szCs w:val="32"/>
          <w:lang w:val="en-US" w:eastAsia="zh-CN"/>
        </w:rPr>
        <w:t>使用年限</w:t>
      </w:r>
      <w:r>
        <w:rPr>
          <w:rFonts w:hint="eastAsia" w:ascii="黑体" w:hAnsi="宋体" w:eastAsia="黑体" w:cs="宋体"/>
          <w:kern w:val="0"/>
          <w:sz w:val="32"/>
          <w:szCs w:val="32"/>
        </w:rPr>
        <w:t>标准</w:t>
      </w:r>
      <w:r>
        <w:rPr>
          <w:rFonts w:hint="eastAsia" w:ascii="黑体" w:hAnsi="宋体" w:eastAsia="黑体" w:cs="宋体"/>
          <w:kern w:val="0"/>
          <w:sz w:val="32"/>
          <w:szCs w:val="32"/>
          <w:lang w:val="en-US" w:eastAsia="zh-CN"/>
        </w:rPr>
        <w:t>表</w:t>
      </w:r>
    </w:p>
    <w:p>
      <w:pPr>
        <w:jc w:val="cente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摘自《福建省财政厅 福建省机关事务管理局关于调整省级行政事业单位通用办公设备和办公家具购置费预算标准的通知》（闽财资〔2021〕3号）</w:t>
      </w:r>
      <w:r>
        <w:rPr>
          <w:rFonts w:hint="eastAsia" w:asciiTheme="majorEastAsia" w:hAnsiTheme="majorEastAsia" w:eastAsiaTheme="majorEastAsia" w:cstheme="majorEastAsia"/>
          <w:sz w:val="24"/>
          <w:szCs w:val="24"/>
          <w:lang w:eastAsia="zh-CN"/>
        </w:rPr>
        <w:t>）</w:t>
      </w:r>
    </w:p>
    <w:p>
      <w:pPr>
        <w:jc w:val="center"/>
        <w:rPr>
          <w:rFonts w:hint="eastAsia" w:asciiTheme="majorEastAsia" w:hAnsiTheme="majorEastAsia" w:eastAsiaTheme="majorEastAsia" w:cstheme="majorEastAsia"/>
          <w:sz w:val="24"/>
          <w:szCs w:val="24"/>
          <w:lang w:eastAsia="zh-CN"/>
        </w:rPr>
      </w:pPr>
    </w:p>
    <w:tbl>
      <w:tblPr>
        <w:tblStyle w:val="6"/>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4447"/>
        <w:gridCol w:w="284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34" w:type="dxa"/>
            <w:tcBorders>
              <w:tl2br w:val="nil"/>
              <w:tr2bl w:val="nil"/>
            </w:tcBorders>
            <w:vAlign w:val="top"/>
          </w:tcPr>
          <w:p>
            <w:pPr>
              <w:jc w:val="center"/>
              <w:rPr>
                <w:rFonts w:hint="eastAsia" w:ascii="Times New Roman" w:hAnsi="Times New Roman" w:cs="Times New Roman"/>
                <w:b/>
                <w:sz w:val="24"/>
                <w:lang w:val="en-US" w:eastAsia="zh-CN"/>
              </w:rPr>
            </w:pPr>
            <w:r>
              <w:rPr>
                <w:rFonts w:hint="eastAsia" w:ascii="Times New Roman" w:hAnsi="Times New Roman" w:cs="Times New Roman"/>
                <w:b/>
                <w:sz w:val="24"/>
                <w:lang w:val="en-US" w:eastAsia="zh-CN"/>
              </w:rPr>
              <w:t>序号</w:t>
            </w:r>
          </w:p>
        </w:tc>
        <w:tc>
          <w:tcPr>
            <w:tcW w:w="4447" w:type="dxa"/>
            <w:tcBorders>
              <w:tl2br w:val="nil"/>
              <w:tr2bl w:val="nil"/>
            </w:tcBorders>
            <w:vAlign w:val="top"/>
          </w:tcPr>
          <w:p>
            <w:pPr>
              <w:jc w:val="center"/>
              <w:rPr>
                <w:rFonts w:hint="eastAsia" w:ascii="Times New Roman" w:hAnsi="Times New Roman" w:cs="Times New Roman"/>
                <w:b/>
                <w:sz w:val="24"/>
                <w:lang w:val="en-US" w:eastAsia="zh-CN"/>
              </w:rPr>
            </w:pPr>
            <w:r>
              <w:rPr>
                <w:rFonts w:hint="eastAsia" w:ascii="Times New Roman" w:hAnsi="Times New Roman" w:cs="Times New Roman"/>
                <w:b/>
                <w:sz w:val="24"/>
                <w:lang w:val="en-US" w:eastAsia="zh-CN"/>
              </w:rPr>
              <w:t>名称</w:t>
            </w:r>
          </w:p>
        </w:tc>
        <w:tc>
          <w:tcPr>
            <w:tcW w:w="2841" w:type="dxa"/>
            <w:tcBorders>
              <w:tl2br w:val="nil"/>
              <w:tr2bl w:val="nil"/>
            </w:tcBorders>
            <w:vAlign w:val="top"/>
          </w:tcPr>
          <w:p>
            <w:pPr>
              <w:jc w:val="center"/>
              <w:rPr>
                <w:rFonts w:hint="default" w:ascii="Times New Roman" w:hAnsi="Times New Roman" w:cs="Times New Roman"/>
                <w:b/>
                <w:sz w:val="24"/>
                <w:lang w:val="en-US" w:eastAsia="zh-CN"/>
              </w:rPr>
            </w:pPr>
            <w:r>
              <w:rPr>
                <w:rFonts w:hint="eastAsia" w:ascii="Times New Roman" w:hAnsi="Times New Roman" w:cs="Times New Roman"/>
                <w:b/>
                <w:sz w:val="24"/>
                <w:lang w:val="en-US" w:eastAsia="zh-CN"/>
              </w:rPr>
              <w:t>使用年限标准（年）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234" w:type="dxa"/>
            <w:tcBorders>
              <w:tl2br w:val="nil"/>
              <w:tr2bl w:val="nil"/>
            </w:tcBorders>
            <w:vAlign w:val="top"/>
          </w:tcPr>
          <w:p>
            <w:pPr>
              <w:snapToGrid w:val="0"/>
              <w:jc w:val="center"/>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w:t>
            </w:r>
          </w:p>
        </w:tc>
        <w:tc>
          <w:tcPr>
            <w:tcW w:w="4447" w:type="dxa"/>
            <w:tcBorders>
              <w:tl2br w:val="nil"/>
              <w:tr2bl w:val="nil"/>
            </w:tcBorders>
            <w:vAlign w:val="top"/>
          </w:tcPr>
          <w:p>
            <w:pPr>
              <w:snapToGrid w:val="0"/>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台式计算机、便携式计算机</w:t>
            </w:r>
          </w:p>
        </w:tc>
        <w:tc>
          <w:tcPr>
            <w:tcW w:w="2841"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2</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打印机、多功能一体机（复合机）、传真机/一体机、投影仪、碎纸机、照相机、摄像机、录音笔</w:t>
            </w:r>
          </w:p>
        </w:tc>
        <w:tc>
          <w:tcPr>
            <w:tcW w:w="2841"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3</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电视机</w:t>
            </w:r>
          </w:p>
        </w:tc>
        <w:tc>
          <w:tcPr>
            <w:tcW w:w="2841"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4</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保险箱/保险柜</w:t>
            </w:r>
          </w:p>
        </w:tc>
        <w:tc>
          <w:tcPr>
            <w:tcW w:w="2841" w:type="dxa"/>
            <w:tcBorders>
              <w:tl2br w:val="nil"/>
              <w:tr2bl w:val="nil"/>
            </w:tcBorders>
            <w:vAlign w:val="top"/>
          </w:tcPr>
          <w:p>
            <w:pPr>
              <w:snapToGrid w:val="0"/>
              <w:jc w:val="center"/>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20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5</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空调设备</w:t>
            </w:r>
          </w:p>
        </w:tc>
        <w:tc>
          <w:tcPr>
            <w:tcW w:w="2841"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6</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办公通用软件</w:t>
            </w:r>
          </w:p>
        </w:tc>
        <w:tc>
          <w:tcPr>
            <w:tcW w:w="2841"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234" w:type="dxa"/>
            <w:tcBorders>
              <w:tl2br w:val="nil"/>
              <w:tr2bl w:val="nil"/>
            </w:tcBorders>
            <w:vAlign w:val="top"/>
          </w:tcPr>
          <w:p>
            <w:pPr>
              <w:snapToGrid w:val="0"/>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7</w:t>
            </w:r>
          </w:p>
        </w:tc>
        <w:tc>
          <w:tcPr>
            <w:tcW w:w="4447" w:type="dxa"/>
            <w:tcBorders>
              <w:tl2br w:val="nil"/>
              <w:tr2bl w:val="nil"/>
            </w:tcBorders>
            <w:vAlign w:val="top"/>
          </w:tcPr>
          <w:p>
            <w:pPr>
              <w:snapToGrid w:val="0"/>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办公桌、办公椅、桌前椅、沙发、茶几、书柜（文件柜）、保密柜、会议桌、会议椅</w:t>
            </w:r>
          </w:p>
        </w:tc>
        <w:tc>
          <w:tcPr>
            <w:tcW w:w="2841" w:type="dxa"/>
            <w:tcBorders>
              <w:tl2br w:val="nil"/>
              <w:tr2bl w:val="nil"/>
            </w:tcBorders>
            <w:vAlign w:val="top"/>
          </w:tcPr>
          <w:p>
            <w:pPr>
              <w:snapToGrid w:val="0"/>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长期使用</w:t>
            </w:r>
          </w:p>
          <w:p>
            <w:pPr>
              <w:snapToGrid w:val="0"/>
              <w:jc w:val="center"/>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（本表中所列“长期使用”是指使用年限15年以上；使用年限超过15年尚可继续使用的，应当继续使用。）</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right="0"/>
        <w:jc w:val="both"/>
        <w:rPr>
          <w:rFonts w:hint="default" w:ascii="仿宋_GB2312" w:hAnsi="仿宋_GB2312" w:eastAsia="仿宋_GB2312" w:cs="仿宋_GB2312"/>
          <w:b w:val="0"/>
          <w:bCs w:val="0"/>
          <w:i w:val="0"/>
          <w:caps w:val="0"/>
          <w:color w:val="333333"/>
          <w:spacing w:val="0"/>
          <w:kern w:val="0"/>
          <w:sz w:val="32"/>
          <w:szCs w:val="32"/>
          <w:lang w:val="en-US" w:eastAsia="zh-CN" w:bidi="ar"/>
        </w:rPr>
      </w:pPr>
      <w:r>
        <w:rPr>
          <w:rFonts w:hint="eastAsia" w:ascii="仿宋_GB2312" w:hAnsi="仿宋_GB2312" w:eastAsia="仿宋_GB2312" w:cs="仿宋_GB2312"/>
          <w:b w:val="0"/>
          <w:bCs w:val="0"/>
          <w:i w:val="0"/>
          <w:caps w:val="0"/>
          <w:color w:val="333333"/>
          <w:spacing w:val="0"/>
          <w:kern w:val="0"/>
          <w:sz w:val="32"/>
          <w:szCs w:val="32"/>
          <w:lang w:val="en-US" w:eastAsia="zh-CN" w:bidi="ar"/>
        </w:rPr>
        <w:t>注：各类电子软件的使用年限标准，参照办公通用软件的5年执行。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986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新正文"/>
    <w:basedOn w:val="3"/>
    <w:next w:val="4"/>
    <w:qFormat/>
    <w:uiPriority w:val="0"/>
    <w:pPr>
      <w:ind w:firstLine="200" w:firstLineChars="200"/>
    </w:pPr>
    <w:rPr>
      <w:rFonts w:ascii="仿宋_GB2312"/>
    </w:rPr>
  </w:style>
  <w:style w:type="paragraph" w:styleId="3">
    <w:name w:val="Plain Text"/>
    <w:basedOn w:val="1"/>
    <w:qFormat/>
    <w:uiPriority w:val="0"/>
    <w:rPr>
      <w:rFonts w:ascii="宋体" w:hAnsi="Courier New"/>
      <w:szCs w:val="20"/>
    </w:rPr>
  </w:style>
  <w:style w:type="paragraph" w:styleId="4">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2026-10-19T03:00:48Z</dcterms:created>
  <dc:creator>Administrator.PC-20240930DGKR</dc:creator>
  <cp:lastModifiedBy>Administrator</cp:lastModifiedBy>
  <dcterms:modified xsi:type="dcterms:W3CDTF">2026-10-19T03:11:36Z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42B28DD7CCD94BBA85993D98E036FE67</vt:lpwstr>
  </property>
</Properties>
</file>