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default" w:eastAsiaTheme="minorEastAsia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935" distR="114935" simplePos="0" relativeHeight="251658240" behindDoc="1" locked="0" layoutInCell="1" allowOverlap="1">
                <wp:simplePos x="0" y="0"/>
                <wp:positionH relativeFrom="page">
                  <wp:posOffset>694055</wp:posOffset>
                </wp:positionH>
                <wp:positionV relativeFrom="topMargin">
                  <wp:posOffset>861695</wp:posOffset>
                </wp:positionV>
                <wp:extent cx="6239510" cy="1670685"/>
                <wp:effectExtent l="0" t="0" r="8890" b="571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1124585" y="1435735"/>
                          <a:ext cx="6239510" cy="167068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jc w:val="both"/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lang w:val="en-US" w:eastAsia="zh-CN"/>
                              </w:rPr>
                              <w:t>三明学院学生工作部(处)文件</w:t>
                            </w:r>
                          </w:p>
                          <w:p>
                            <w:pPr>
                              <w:jc w:val="both"/>
                              <w:rPr>
                                <w:rFonts w:hint="default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u w:val="thick" w:color="FF000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宋体" w:hAnsi="宋体" w:eastAsia="宋体" w:cs="宋体"/>
                                <w:b/>
                                <w:bCs/>
                                <w:color w:val="FF0000"/>
                                <w:sz w:val="72"/>
                                <w:szCs w:val="72"/>
                                <w:u w:val="thick" w:color="FF0000"/>
                                <w:lang w:val="en-US" w:eastAsia="zh-CN"/>
                              </w:rPr>
                              <w:t xml:space="preserve">      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upright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54.65pt;margin-top:67.85pt;height:131.55pt;width:491.3pt;mso-position-horizontal-relative:page;mso-position-vertical-relative:page;z-index:-251658240;mso-width-relative:page;mso-height-relative:page;" fillcolor="#FFFFFF [3201]" filled="t" stroked="f" coordsize="21600,21600" o:gfxdata="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X&#10;cv161gAAAAwBAAAPAAAAAAAAAAEAIAAAACIAAABkcnMvZG93bnJldi54bWxQSwECFAAUAAAACACH&#10;TuJA9WJp9F8CAACoBAAADgAAAAAAAAABACAAAAAlAQAAZHJzL2Uyb0RvYy54bWxQSwUGAAAAAAYA&#10;BgBZAQAA9g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jc w:val="both"/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lang w:val="en-US" w:eastAsia="zh-CN"/>
                        </w:rPr>
                        <w:t>三明学院学生工作部(处)文件</w:t>
                      </w:r>
                    </w:p>
                    <w:p>
                      <w:pPr>
                        <w:jc w:val="both"/>
                        <w:rPr>
                          <w:rFonts w:hint="default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u w:val="thick" w:color="FF0000"/>
                          <w:lang w:val="en-US" w:eastAsia="zh-CN"/>
                        </w:rPr>
                      </w:pPr>
                      <w:r>
                        <w:rPr>
                          <w:rFonts w:hint="eastAsia" w:ascii="宋体" w:hAnsi="宋体" w:eastAsia="宋体" w:cs="宋体"/>
                          <w:b/>
                          <w:bCs/>
                          <w:color w:val="FF0000"/>
                          <w:sz w:val="72"/>
                          <w:szCs w:val="72"/>
                          <w:u w:val="thick" w:color="FF0000"/>
                          <w:lang w:val="en-US" w:eastAsia="zh-CN"/>
                        </w:rPr>
                        <w:t xml:space="preserve">                          </w:t>
                      </w:r>
                    </w:p>
                  </w:txbxContent>
                </v:textbox>
              </v:shape>
            </w:pict>
          </mc:Fallback>
        </mc:AlternateConten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  <w:sz w:val="28"/>
          <w:szCs w:val="28"/>
        </w:rPr>
      </w:pPr>
    </w:p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right"/>
        <w:textAlignment w:val="auto"/>
        <w:outlineLvl w:val="3"/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</w:rPr>
      </w:pPr>
      <w:r>
        <w:rPr>
          <w:rFonts w:hint="eastAsia"/>
          <w:lang w:val="en-US" w:eastAsia="zh-CN"/>
          <w14:textOutline w14:w="12700" w14:cmpd="sng">
            <w14:solidFill>
              <w14:srgbClr w14:val="FF0000">
                <w14:alpha w14:val="0"/>
              </w14:srgbClr>
            </w14:solidFill>
            <w14:prstDash w14:val="solid"/>
            <w14:round/>
          </w14:textOutline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val="en-US" w:eastAsia="zh-CN"/>
          <w14:textOutline w14:w="12700" w14:cmpd="sng">
            <w14:solidFill>
              <w14:srgbClr w14:val="FF0000">
                <w14:alpha w14:val="0"/>
              </w14:srgbClr>
            </w14:solidFill>
            <w14:prstDash w14:val="solid"/>
            <w14:round/>
          </w14:textOutline>
        </w:rPr>
        <w:t xml:space="preserve">                                      </w:t>
      </w:r>
      <w:r>
        <w:rPr>
          <w:rFonts w:hint="eastAsia" w:ascii="宋体" w:hAnsi="宋体" w:eastAsia="仿宋_GB2312" w:cs="仿宋_GB2312"/>
          <w:b w:val="0"/>
          <w:kern w:val="0"/>
          <w:sz w:val="32"/>
          <w:szCs w:val="32"/>
          <w:lang w:val="en-US" w:eastAsia="zh-CN" w:bidi="ar-SA"/>
        </w:rPr>
        <w:t>明院学工〔2020〕32</w:t>
      </w:r>
      <w:bookmarkStart w:id="0" w:name="_GoBack"/>
      <w:bookmarkEnd w:id="0"/>
      <w:r>
        <w:rPr>
          <w:rFonts w:hint="eastAsia" w:ascii="宋体" w:hAnsi="宋体" w:eastAsia="仿宋_GB2312" w:cs="仿宋_GB2312"/>
          <w:b w:val="0"/>
          <w:kern w:val="0"/>
          <w:sz w:val="32"/>
          <w:szCs w:val="32"/>
          <w:lang w:val="en-US" w:eastAsia="zh-CN" w:bidi="ar-SA"/>
        </w:rPr>
        <w:t>号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三明学院关于开展201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9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-20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  <w:lang w:val="en-US" w:eastAsia="zh-CN"/>
        </w:rPr>
        <w:t>20</w:t>
      </w: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学年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/>
        <w:jc w:val="both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“十大学风优胜班”“十大学风优胜宿舍”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sz w:val="44"/>
          <w:szCs w:val="44"/>
        </w:rPr>
        <w:t>和“十大学习标兵”评选活动的通知</w:t>
      </w: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eastAsia" w:ascii="仿宋" w:hAnsi="仿宋" w:eastAsia="仿宋" w:cs="Times New Roman"/>
          <w:b w:val="0"/>
          <w:sz w:val="32"/>
          <w:szCs w:val="32"/>
        </w:rPr>
      </w:pPr>
    </w:p>
    <w:p>
      <w:pPr>
        <w:pStyle w:val="2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0" w:afterAutospacing="0" w:line="540" w:lineRule="exact"/>
        <w:ind w:left="0" w:leftChars="0" w:right="0" w:rightChars="0"/>
        <w:textAlignment w:val="auto"/>
        <w:rPr>
          <w:rFonts w:hint="eastAsia" w:ascii="仿宋" w:hAnsi="仿宋" w:eastAsia="仿宋" w:cs="Times New Roman"/>
          <w:b w:val="0"/>
          <w:sz w:val="32"/>
          <w:szCs w:val="32"/>
        </w:rPr>
      </w:pPr>
      <w:r>
        <w:rPr>
          <w:rFonts w:hint="eastAsia" w:ascii="仿宋" w:hAnsi="仿宋" w:eastAsia="仿宋" w:cs="Times New Roman"/>
          <w:b w:val="0"/>
          <w:sz w:val="32"/>
          <w:szCs w:val="32"/>
        </w:rPr>
        <w:t>各二级学院：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color w:val="000000"/>
          <w:sz w:val="32"/>
          <w:szCs w:val="32"/>
        </w:rPr>
        <w:t>为认真贯彻落实</w:t>
      </w:r>
      <w:r>
        <w:rPr>
          <w:rFonts w:hint="eastAsia" w:ascii="仿宋" w:hAnsi="仿宋" w:eastAsia="仿宋"/>
          <w:color w:val="000000"/>
          <w:sz w:val="32"/>
          <w:szCs w:val="32"/>
        </w:rPr>
        <w:t>习近平新时代中国特色社会主义思想和党的十九大精神，把贯穿落实全国和全省教育大会、</w:t>
      </w:r>
      <w:r>
        <w:rPr>
          <w:rFonts w:ascii="仿宋" w:hAnsi="仿宋" w:eastAsia="仿宋"/>
          <w:color w:val="000000"/>
          <w:sz w:val="32"/>
          <w:szCs w:val="32"/>
        </w:rPr>
        <w:t>高校思想政治工作会议</w:t>
      </w:r>
      <w:r>
        <w:rPr>
          <w:rFonts w:hint="eastAsia" w:ascii="仿宋" w:hAnsi="仿宋" w:eastAsia="仿宋"/>
          <w:color w:val="000000"/>
          <w:sz w:val="32"/>
          <w:szCs w:val="32"/>
        </w:rPr>
        <w:t>以及学校思想政治理论课教师座谈会精神引向深入，扎实推进福建省“三全育人”综合改革试点培育建设工作，践行“三明三康”教育理念</w:t>
      </w:r>
      <w:r>
        <w:rPr>
          <w:rFonts w:hint="eastAsia"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</w:rPr>
        <w:t>鼓励学生勤奋学习、刻苦钻研，在校园内营造良好的学习氛围，学</w:t>
      </w:r>
      <w:r>
        <w:rPr>
          <w:rFonts w:hint="eastAsia" w:ascii="仿宋" w:hAnsi="仿宋" w:eastAsia="仿宋"/>
          <w:sz w:val="32"/>
          <w:szCs w:val="32"/>
        </w:rPr>
        <w:t>校决定开展201</w:t>
      </w:r>
      <w:r>
        <w:rPr>
          <w:rFonts w:hint="eastAsia" w:ascii="仿宋" w:hAnsi="仿宋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/>
          <w:sz w:val="32"/>
          <w:szCs w:val="32"/>
        </w:rPr>
        <w:t>-20</w:t>
      </w:r>
      <w:r>
        <w:rPr>
          <w:rFonts w:hint="eastAsia" w:ascii="仿宋" w:hAnsi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学年“十大学风优胜班”、“十大学风优胜宿舍”和“十大学习标兵”评选活动。现将有关事项通知如下：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一、组织领导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为使评选活动更具有广泛性、代表性和权威性，学校成立评选工作领导小组，评选工作领导小组下设评选办公室，挂靠学工部（处）。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组  长：廖景榕  （校党委副书记）</w:t>
      </w:r>
    </w:p>
    <w:p>
      <w:pPr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副组长：李生专  （学工部部长）</w:t>
      </w:r>
    </w:p>
    <w:p>
      <w:pPr>
        <w:keepNext w:val="0"/>
        <w:keepLines w:val="0"/>
        <w:pageBreakBefore w:val="0"/>
        <w:tabs>
          <w:tab w:val="left" w:pos="3402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成  员：邱锦明  （教务处处长）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叶志鹏  （校团委书记）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张衍辉  （学工部副部长）</w:t>
      </w:r>
    </w:p>
    <w:p>
      <w:pPr>
        <w:keepNext w:val="0"/>
        <w:keepLines w:val="0"/>
        <w:pageBreakBefore w:val="0"/>
        <w:tabs>
          <w:tab w:val="left" w:pos="3261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林  云  （教育与音乐学院党委副书记）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李金波  （经济与管理学院党委副书记）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官丽雅  （艺术与设计学院党委副书记）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杨文杰  （信息工程学院党委副书记）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陈俊树  （机电工程学院党委副书记）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林明穗  （资源与化工学院党委副书记）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陈  凡  （建筑工程学院党委副书记）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刘景苗  （海峡理工学院党委副书记）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游耿林  （文化传播学院党委副书记）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陈德深  （海外学院党委副书记）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right="0" w:rightChars="0" w:firstLine="1962" w:firstLineChars="6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林  嵘  （体育与康养学院党委副书记）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585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评审办公室主任：李生专（兼）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585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各二级学院设立初评工作小组，负责具体推荐评选工作。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二、评选条件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 xml:space="preserve">（一）“十大学风优胜班”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bCs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1.</w:t>
      </w:r>
      <w:r>
        <w:rPr>
          <w:rFonts w:hint="eastAsia" w:ascii="仿宋" w:hAnsi="仿宋" w:eastAsia="仿宋"/>
          <w:b/>
          <w:sz w:val="32"/>
          <w:szCs w:val="32"/>
        </w:rPr>
        <w:t>班级制度建设：</w:t>
      </w:r>
      <w:r>
        <w:rPr>
          <w:rFonts w:hint="eastAsia" w:ascii="仿宋" w:hAnsi="仿宋" w:eastAsia="仿宋"/>
          <w:bCs/>
          <w:sz w:val="32"/>
          <w:szCs w:val="32"/>
        </w:rPr>
        <w:t>班团委建设及制度建设档案材料齐全、实施到位、成绩显著；积极开展学风建设活动，有明确的学风建设专项计划书，有完善的学风建设实施方案和举措，能够正确引导本班学生认真学习，积极参加第二课堂和各级各类创新实践活动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bCs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2.班风学风</w:t>
      </w:r>
      <w:r>
        <w:rPr>
          <w:rFonts w:ascii="仿宋" w:hAnsi="仿宋" w:eastAsia="仿宋"/>
          <w:b/>
          <w:sz w:val="32"/>
          <w:szCs w:val="32"/>
        </w:rPr>
        <w:t>建设</w:t>
      </w:r>
      <w:r>
        <w:rPr>
          <w:rFonts w:hint="eastAsia" w:ascii="仿宋" w:hAnsi="仿宋" w:eastAsia="仿宋"/>
          <w:b/>
          <w:sz w:val="32"/>
          <w:szCs w:val="32"/>
        </w:rPr>
        <w:t>：</w:t>
      </w:r>
      <w:r>
        <w:rPr>
          <w:rFonts w:hint="eastAsia" w:ascii="仿宋" w:hAnsi="仿宋" w:eastAsia="仿宋"/>
          <w:bCs/>
          <w:sz w:val="32"/>
          <w:szCs w:val="32"/>
        </w:rPr>
        <w:t>有积极上进、乐于助人、遵纪守法、热爱集体、崇尚科学、反对迷信、朝气蓬勃、文明健康的良好班风；积极开展学习帮扶活动，有团结、勤奋、求实、创新的优良学风。积极落实学校各项考勤制度，遵守课堂纪律；总体学习成绩优秀，考试、考查成绩不及格率低；班级学生国家英语等级考试通过率高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3.素质拓展</w:t>
      </w:r>
      <w:r>
        <w:rPr>
          <w:rFonts w:hint="eastAsia" w:ascii="仿宋" w:hAnsi="仿宋" w:eastAsia="仿宋"/>
          <w:b/>
          <w:sz w:val="32"/>
          <w:szCs w:val="32"/>
        </w:rPr>
        <w:t>情况：</w:t>
      </w:r>
      <w:r>
        <w:rPr>
          <w:rFonts w:ascii="仿宋" w:hAnsi="仿宋" w:eastAsia="仿宋"/>
          <w:sz w:val="32"/>
          <w:szCs w:val="32"/>
        </w:rPr>
        <w:t>班级学生积极组织参加各</w:t>
      </w:r>
      <w:r>
        <w:rPr>
          <w:rFonts w:hint="eastAsia" w:ascii="仿宋" w:hAnsi="仿宋" w:eastAsia="仿宋"/>
          <w:sz w:val="32"/>
          <w:szCs w:val="32"/>
        </w:rPr>
        <w:t>类</w:t>
      </w:r>
      <w:r>
        <w:rPr>
          <w:rFonts w:ascii="仿宋" w:hAnsi="仿宋" w:eastAsia="仿宋"/>
          <w:sz w:val="32"/>
          <w:szCs w:val="32"/>
        </w:rPr>
        <w:t>科技文化竞赛活动</w:t>
      </w:r>
      <w:r>
        <w:rPr>
          <w:rFonts w:hint="eastAsia" w:ascii="仿宋" w:hAnsi="仿宋" w:eastAsia="仿宋"/>
          <w:sz w:val="32"/>
          <w:szCs w:val="32"/>
        </w:rPr>
        <w:t>，在省级及以上级别赛事获奖率高</w:t>
      </w:r>
      <w:r>
        <w:rPr>
          <w:rFonts w:ascii="仿宋" w:hAnsi="仿宋" w:eastAsia="仿宋"/>
          <w:sz w:val="32"/>
          <w:szCs w:val="32"/>
        </w:rPr>
        <w:t>；踊跃参与教师科研课题或其它科研活动，有</w:t>
      </w:r>
      <w:r>
        <w:rPr>
          <w:rFonts w:hint="eastAsia" w:ascii="仿宋" w:hAnsi="仿宋" w:eastAsia="仿宋"/>
          <w:sz w:val="32"/>
          <w:szCs w:val="32"/>
        </w:rPr>
        <w:t>主持或合作完成发明专利、</w:t>
      </w:r>
      <w:r>
        <w:rPr>
          <w:rFonts w:ascii="仿宋" w:hAnsi="仿宋" w:eastAsia="仿宋"/>
          <w:sz w:val="32"/>
          <w:szCs w:val="32"/>
        </w:rPr>
        <w:t>撰写或发表学术论文；积极参与相关专业职业资格证书的学习和考试，通过率高</w:t>
      </w:r>
      <w:r>
        <w:rPr>
          <w:rFonts w:hint="eastAsia" w:ascii="仿宋" w:hAnsi="仿宋" w:eastAsia="仿宋"/>
          <w:sz w:val="32"/>
          <w:szCs w:val="32"/>
        </w:rPr>
        <w:t>；积极参加寒暑期社会实践活动，参与人数、立项数比例高。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4.</w:t>
      </w:r>
      <w:r>
        <w:rPr>
          <w:rFonts w:hint="eastAsia" w:ascii="仿宋" w:hAnsi="仿宋" w:eastAsia="仿宋"/>
          <w:b/>
          <w:sz w:val="32"/>
          <w:szCs w:val="32"/>
        </w:rPr>
        <w:t>班级德育情况：</w:t>
      </w:r>
      <w:r>
        <w:rPr>
          <w:rFonts w:hint="eastAsia" w:ascii="仿宋" w:hAnsi="仿宋" w:eastAsia="仿宋"/>
          <w:sz w:val="32"/>
          <w:szCs w:val="32"/>
        </w:rPr>
        <w:t>班级学生德育情况良好，该</w:t>
      </w:r>
      <w:r>
        <w:rPr>
          <w:rFonts w:ascii="仿宋" w:hAnsi="仿宋" w:eastAsia="仿宋"/>
          <w:sz w:val="32"/>
          <w:szCs w:val="32"/>
        </w:rPr>
        <w:t>学年</w:t>
      </w:r>
      <w:r>
        <w:rPr>
          <w:rFonts w:hint="eastAsia" w:ascii="仿宋" w:hAnsi="仿宋" w:eastAsia="仿宋"/>
          <w:sz w:val="32"/>
          <w:szCs w:val="32"/>
        </w:rPr>
        <w:t>没有学生因旷课受处分；</w:t>
      </w:r>
      <w:r>
        <w:rPr>
          <w:rFonts w:ascii="仿宋" w:hAnsi="仿宋" w:eastAsia="仿宋"/>
          <w:sz w:val="32"/>
          <w:szCs w:val="32"/>
        </w:rPr>
        <w:t>没有学生因考试违规、作弊等情况受处分</w:t>
      </w:r>
      <w:r>
        <w:rPr>
          <w:rFonts w:hint="eastAsia" w:ascii="仿宋" w:hAnsi="仿宋" w:eastAsia="仿宋"/>
          <w:sz w:val="32"/>
          <w:szCs w:val="32"/>
        </w:rPr>
        <w:t>；全班学生严格执行学校有关校园综合治理的规定，未发生影响校园安全的事故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5.文明宿舍</w:t>
      </w:r>
      <w:r>
        <w:rPr>
          <w:rFonts w:hint="eastAsia" w:ascii="仿宋" w:hAnsi="仿宋" w:eastAsia="仿宋"/>
          <w:b/>
          <w:sz w:val="32"/>
          <w:szCs w:val="32"/>
        </w:rPr>
        <w:t>创建情况：</w:t>
      </w:r>
      <w:r>
        <w:rPr>
          <w:rFonts w:hint="eastAsia" w:ascii="仿宋" w:hAnsi="仿宋" w:eastAsia="仿宋"/>
          <w:sz w:val="32"/>
          <w:szCs w:val="32"/>
        </w:rPr>
        <w:t>全班学生所在宿舍认真抓好文明宿舍创建工作，无不达标宿舍，无使用违章电器、破坏设备等受到处分的情况。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（二）“十大学风优胜宿舍”</w:t>
      </w:r>
    </w:p>
    <w:p>
      <w:pPr>
        <w:keepNext w:val="0"/>
        <w:keepLines w:val="0"/>
        <w:pageBreakBefore w:val="0"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27" w:firstLineChars="192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1.宿舍学生遵守学校各项规章制度和纪律，无旷课、无违反校纪校规行为；积极参加学校、学院、班级各项集体活动，集体观念和集体荣誉感强；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2.宿舍风气好，有健康向上的舆论导向和文化氛围，</w:t>
      </w:r>
      <w:r>
        <w:rPr>
          <w:rFonts w:ascii="仿宋" w:hAnsi="仿宋" w:eastAsia="仿宋"/>
          <w:sz w:val="32"/>
          <w:szCs w:val="32"/>
        </w:rPr>
        <w:t>团结和睦、互帮互助，积极追求进步，</w:t>
      </w:r>
      <w:r>
        <w:rPr>
          <w:rFonts w:hint="eastAsia" w:ascii="仿宋" w:hAnsi="仿宋" w:eastAsia="仿宋"/>
          <w:sz w:val="32"/>
          <w:szCs w:val="32"/>
        </w:rPr>
        <w:t>宿舍经常开展健康有益的集体活动，积极参加公益服务活动；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3.宿舍成员学习态度端正，学习气氛浓厚，学习成绩在班级名列前茅，获奖学金人数比率高；英语、计算机、普通话等过级比例高，有乐学、勤学、会学的良好学风；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4.宿舍卫生好，该学年宿舍为达标宿舍且至少一次</w:t>
      </w:r>
      <w:r>
        <w:rPr>
          <w:rFonts w:ascii="仿宋" w:hAnsi="仿宋" w:eastAsia="仿宋"/>
          <w:sz w:val="32"/>
          <w:szCs w:val="32"/>
        </w:rPr>
        <w:t>被评为校文明宿舍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.201</w:t>
      </w:r>
      <w:r>
        <w:rPr>
          <w:rFonts w:hint="eastAsia" w:ascii="仿宋" w:hAnsi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-20</w:t>
      </w:r>
      <w:r>
        <w:rPr>
          <w:rFonts w:hint="eastAsia" w:ascii="仿宋" w:hAnsi="仿宋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sz w:val="32"/>
          <w:szCs w:val="32"/>
        </w:rPr>
        <w:t>学年有以下情况之一的班级，不得申报“学风优胜宿舍”：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（1）宿舍成员受通报批评及以上处分；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（2）宿舍被评为不达标宿舍；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（3）宿舍成员</w:t>
      </w:r>
      <w:r>
        <w:rPr>
          <w:rFonts w:hint="eastAsia" w:ascii="仿宋" w:hAnsi="仿宋" w:eastAsia="仿宋"/>
          <w:sz w:val="32"/>
          <w:szCs w:val="32"/>
        </w:rPr>
        <w:t>学业</w:t>
      </w:r>
      <w:r>
        <w:rPr>
          <w:rFonts w:ascii="仿宋" w:hAnsi="仿宋" w:eastAsia="仿宋"/>
          <w:sz w:val="32"/>
          <w:szCs w:val="32"/>
        </w:rPr>
        <w:t>成绩有</w:t>
      </w:r>
      <w:r>
        <w:rPr>
          <w:rFonts w:hint="eastAsia" w:ascii="仿宋" w:hAnsi="仿宋" w:eastAsia="仿宋"/>
          <w:sz w:val="32"/>
          <w:szCs w:val="32"/>
        </w:rPr>
        <w:t>挂科和</w:t>
      </w:r>
      <w:r>
        <w:rPr>
          <w:rFonts w:ascii="仿宋" w:hAnsi="仿宋" w:eastAsia="仿宋"/>
          <w:sz w:val="32"/>
          <w:szCs w:val="32"/>
        </w:rPr>
        <w:t>补考；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（4）宿舍成员少于4人，或合住不满一年。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b/>
          <w:sz w:val="32"/>
          <w:szCs w:val="32"/>
        </w:rPr>
        <w:t>（三）“十大学习标兵”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1.热爱社会主义祖国，拥护中国共产党的领导，具有中华人民共和国国籍；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仿宋" w:hAnsi="仿宋" w:eastAsia="仿宋"/>
          <w:sz w:val="32"/>
          <w:szCs w:val="32"/>
        </w:rPr>
        <w:t>2.我校全日制在籍学生（不含20</w:t>
      </w:r>
      <w:r>
        <w:rPr>
          <w:rFonts w:hint="eastAsia" w:ascii="仿宋" w:hAnsi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级）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.学习态度</w:t>
      </w:r>
      <w:r>
        <w:rPr>
          <w:rFonts w:hint="eastAsia" w:ascii="仿宋" w:hAnsi="仿宋" w:eastAsia="仿宋"/>
          <w:sz w:val="32"/>
          <w:szCs w:val="32"/>
        </w:rPr>
        <w:t>端正</w:t>
      </w:r>
      <w:r>
        <w:rPr>
          <w:rFonts w:ascii="仿宋" w:hAnsi="仿宋" w:eastAsia="仿宋"/>
          <w:sz w:val="32"/>
          <w:szCs w:val="32"/>
        </w:rPr>
        <w:t>，</w:t>
      </w:r>
      <w:r>
        <w:rPr>
          <w:rFonts w:hint="eastAsia" w:ascii="仿宋" w:hAnsi="仿宋" w:eastAsia="仿宋"/>
          <w:sz w:val="32"/>
          <w:szCs w:val="32"/>
        </w:rPr>
        <w:t>目标</w:t>
      </w:r>
      <w:r>
        <w:rPr>
          <w:rFonts w:ascii="仿宋" w:hAnsi="仿宋" w:eastAsia="仿宋"/>
          <w:sz w:val="32"/>
          <w:szCs w:val="32"/>
        </w:rPr>
        <w:t>明确，知识丰富，表现突出；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</w:t>
      </w:r>
      <w:r>
        <w:rPr>
          <w:rFonts w:ascii="仿宋" w:hAnsi="仿宋" w:eastAsia="仿宋"/>
          <w:sz w:val="32"/>
          <w:szCs w:val="32"/>
        </w:rPr>
        <w:t>学业成绩优异，</w:t>
      </w:r>
      <w:r>
        <w:rPr>
          <w:rFonts w:hint="eastAsia" w:ascii="仿宋" w:hAnsi="仿宋" w:eastAsia="仿宋"/>
          <w:sz w:val="32"/>
          <w:szCs w:val="32"/>
        </w:rPr>
        <w:t>成绩在本专业名列前20%；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5</w:t>
      </w:r>
      <w:r>
        <w:rPr>
          <w:rFonts w:ascii="仿宋" w:hAnsi="仿宋" w:eastAsia="仿宋"/>
          <w:sz w:val="32"/>
          <w:szCs w:val="32"/>
        </w:rPr>
        <w:t>.</w:t>
      </w:r>
      <w:r>
        <w:rPr>
          <w:rFonts w:hint="eastAsia" w:ascii="仿宋" w:hAnsi="仿宋" w:eastAsia="仿宋"/>
          <w:sz w:val="32"/>
          <w:szCs w:val="32"/>
        </w:rPr>
        <w:t>积极参加</w:t>
      </w:r>
      <w:r>
        <w:rPr>
          <w:rFonts w:ascii="仿宋" w:hAnsi="仿宋" w:eastAsia="仿宋"/>
          <w:sz w:val="32"/>
          <w:szCs w:val="32"/>
        </w:rPr>
        <w:t>英语、计算机、</w:t>
      </w:r>
      <w:r>
        <w:rPr>
          <w:rFonts w:hint="eastAsia" w:ascii="仿宋" w:hAnsi="仿宋" w:eastAsia="仿宋"/>
          <w:sz w:val="32"/>
          <w:szCs w:val="32"/>
        </w:rPr>
        <w:t>普通话以及</w:t>
      </w:r>
      <w:r>
        <w:rPr>
          <w:rFonts w:ascii="仿宋" w:hAnsi="仿宋" w:eastAsia="仿宋"/>
          <w:sz w:val="32"/>
          <w:szCs w:val="32"/>
        </w:rPr>
        <w:t>专业技能</w:t>
      </w:r>
      <w:r>
        <w:rPr>
          <w:rFonts w:hint="eastAsia" w:ascii="仿宋" w:hAnsi="仿宋" w:eastAsia="仿宋"/>
          <w:sz w:val="32"/>
          <w:szCs w:val="32"/>
        </w:rPr>
        <w:t>等级</w:t>
      </w:r>
      <w:r>
        <w:rPr>
          <w:rFonts w:ascii="仿宋" w:hAnsi="仿宋" w:eastAsia="仿宋"/>
          <w:sz w:val="32"/>
          <w:szCs w:val="32"/>
        </w:rPr>
        <w:t>考试，成绩突出</w:t>
      </w:r>
      <w:r>
        <w:rPr>
          <w:rFonts w:hint="eastAsia" w:ascii="仿宋" w:hAnsi="仿宋" w:eastAsia="仿宋"/>
          <w:sz w:val="32"/>
          <w:szCs w:val="32"/>
        </w:rPr>
        <w:t>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6.在专业学习上有突出事迹，</w:t>
      </w:r>
      <w:r>
        <w:rPr>
          <w:rFonts w:ascii="仿宋" w:hAnsi="仿宋" w:eastAsia="仿宋"/>
          <w:sz w:val="32"/>
          <w:szCs w:val="32"/>
        </w:rPr>
        <w:t>学习经验值得推广的（根据学院实际情况推荐）；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7.积极参加学术活动和科学研究并取得突出成绩，发表专利、论文，或者在学科专业竞赛中获得省级及以上荣誉；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8.积极参加</w:t>
      </w:r>
      <w:r>
        <w:rPr>
          <w:rFonts w:ascii="仿宋" w:hAnsi="仿宋" w:eastAsia="仿宋"/>
          <w:sz w:val="32"/>
          <w:szCs w:val="32"/>
        </w:rPr>
        <w:t>学生社团、</w:t>
      </w:r>
      <w:r>
        <w:rPr>
          <w:rFonts w:hint="eastAsia" w:ascii="仿宋" w:hAnsi="仿宋" w:eastAsia="仿宋"/>
          <w:sz w:val="32"/>
          <w:szCs w:val="32"/>
        </w:rPr>
        <w:t>社会实践、</w:t>
      </w:r>
      <w:r>
        <w:rPr>
          <w:rFonts w:ascii="仿宋" w:hAnsi="仿宋" w:eastAsia="仿宋"/>
          <w:sz w:val="32"/>
          <w:szCs w:val="32"/>
        </w:rPr>
        <w:t>课外科技文体活动、讲座等；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9.在学习、生活中能切实起到模范带头作用，在学风建设的其他活动中表现突出。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三、评选办法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1.入学满一年的班级</w:t>
      </w:r>
      <w:r>
        <w:rPr>
          <w:rFonts w:hint="eastAsia" w:ascii="仿宋" w:hAnsi="仿宋" w:eastAsia="仿宋"/>
          <w:sz w:val="32"/>
          <w:szCs w:val="32"/>
        </w:rPr>
        <w:t>、宿舍、学生</w:t>
      </w:r>
      <w:r>
        <w:rPr>
          <w:rFonts w:ascii="仿宋" w:hAnsi="仿宋" w:eastAsia="仿宋"/>
          <w:sz w:val="32"/>
          <w:szCs w:val="32"/>
        </w:rPr>
        <w:t>可以参加评选。</w:t>
      </w:r>
      <w:r>
        <w:rPr>
          <w:rFonts w:hint="eastAsia" w:ascii="仿宋" w:hAnsi="仿宋" w:eastAsia="仿宋"/>
          <w:sz w:val="32"/>
          <w:szCs w:val="32"/>
        </w:rPr>
        <w:t>各二级学院</w:t>
      </w:r>
      <w:r>
        <w:rPr>
          <w:rFonts w:ascii="仿宋" w:hAnsi="仿宋" w:eastAsia="仿宋"/>
          <w:sz w:val="32"/>
          <w:szCs w:val="32"/>
        </w:rPr>
        <w:t>学风优胜班、学风优胜宿舍和学习标兵</w:t>
      </w:r>
      <w:r>
        <w:rPr>
          <w:rFonts w:hint="eastAsia" w:ascii="仿宋" w:hAnsi="仿宋" w:eastAsia="仿宋"/>
          <w:sz w:val="32"/>
          <w:szCs w:val="32"/>
        </w:rPr>
        <w:t>均</w:t>
      </w:r>
      <w:r>
        <w:rPr>
          <w:rFonts w:ascii="仿宋" w:hAnsi="仿宋" w:eastAsia="仿宋"/>
          <w:sz w:val="32"/>
          <w:szCs w:val="32"/>
        </w:rPr>
        <w:t>限</w:t>
      </w:r>
      <w:r>
        <w:rPr>
          <w:rFonts w:hint="eastAsia" w:ascii="仿宋" w:hAnsi="仿宋" w:eastAsia="仿宋"/>
          <w:sz w:val="32"/>
          <w:szCs w:val="32"/>
        </w:rPr>
        <w:t>推荐</w:t>
      </w:r>
      <w:r>
        <w:rPr>
          <w:rFonts w:ascii="仿宋" w:hAnsi="仿宋" w:eastAsia="仿宋"/>
          <w:sz w:val="32"/>
          <w:szCs w:val="32"/>
        </w:rPr>
        <w:t>2名</w:t>
      </w:r>
      <w:r>
        <w:rPr>
          <w:rFonts w:hint="eastAsia" w:ascii="仿宋" w:hAnsi="仿宋" w:eastAsia="仿宋"/>
          <w:sz w:val="32"/>
          <w:szCs w:val="32"/>
        </w:rPr>
        <w:t>，往年已获该项荣誉的不再参评。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2.符合条件的班级（宿舍及个人）填写申报材料，向二级学院提出申请。</w:t>
      </w:r>
      <w:r>
        <w:rPr>
          <w:rFonts w:ascii="仿宋" w:hAnsi="仿宋" w:eastAsia="仿宋"/>
          <w:sz w:val="32"/>
          <w:szCs w:val="32"/>
        </w:rPr>
        <w:t>各二级学院根据201</w:t>
      </w:r>
      <w:r>
        <w:rPr>
          <w:rFonts w:hint="eastAsia" w:ascii="仿宋" w:hAnsi="仿宋"/>
          <w:sz w:val="32"/>
          <w:szCs w:val="32"/>
          <w:lang w:val="en-US" w:eastAsia="zh-CN"/>
        </w:rPr>
        <w:t>9</w:t>
      </w:r>
      <w:r>
        <w:rPr>
          <w:rFonts w:ascii="仿宋" w:hAnsi="仿宋" w:eastAsia="仿宋"/>
          <w:sz w:val="32"/>
          <w:szCs w:val="32"/>
        </w:rPr>
        <w:t>-20</w:t>
      </w:r>
      <w:r>
        <w:rPr>
          <w:rFonts w:hint="eastAsia" w:ascii="仿宋" w:hAnsi="仿宋"/>
          <w:sz w:val="32"/>
          <w:szCs w:val="32"/>
          <w:lang w:val="en-US" w:eastAsia="zh-CN"/>
        </w:rPr>
        <w:t>20</w:t>
      </w:r>
      <w:r>
        <w:rPr>
          <w:rFonts w:ascii="仿宋" w:hAnsi="仿宋" w:eastAsia="仿宋"/>
          <w:sz w:val="32"/>
          <w:szCs w:val="32"/>
        </w:rPr>
        <w:t>学年学风</w:t>
      </w:r>
      <w:r>
        <w:rPr>
          <w:rFonts w:hint="eastAsia" w:ascii="仿宋" w:hAnsi="仿宋" w:eastAsia="仿宋"/>
          <w:sz w:val="32"/>
          <w:szCs w:val="32"/>
        </w:rPr>
        <w:t>建设</w:t>
      </w:r>
      <w:r>
        <w:rPr>
          <w:rFonts w:ascii="仿宋" w:hAnsi="仿宋" w:eastAsia="仿宋"/>
          <w:sz w:val="32"/>
          <w:szCs w:val="32"/>
        </w:rPr>
        <w:t>情况，</w:t>
      </w:r>
      <w:r>
        <w:rPr>
          <w:rFonts w:hint="eastAsia" w:ascii="仿宋" w:hAnsi="仿宋" w:eastAsia="仿宋"/>
          <w:sz w:val="32"/>
          <w:szCs w:val="32"/>
        </w:rPr>
        <w:t>对照评选条件，严格把关，宁缺勿滥，推选出师生公认的在学风建设活动中表现突出的班级、宿舍和个人，并在学院内公示。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</w:t>
      </w:r>
      <w:r>
        <w:rPr>
          <w:rFonts w:ascii="仿宋" w:hAnsi="仿宋" w:eastAsia="仿宋"/>
          <w:sz w:val="32"/>
          <w:szCs w:val="32"/>
        </w:rPr>
        <w:t>.由学生工作</w:t>
      </w:r>
      <w:r>
        <w:rPr>
          <w:rFonts w:hint="eastAsia" w:ascii="仿宋" w:hAnsi="仿宋" w:eastAsia="仿宋"/>
          <w:sz w:val="32"/>
          <w:szCs w:val="32"/>
        </w:rPr>
        <w:t>部</w:t>
      </w:r>
      <w:r>
        <w:rPr>
          <w:rFonts w:hint="eastAsia" w:ascii="仿宋" w:hAnsi="仿宋"/>
          <w:sz w:val="32"/>
          <w:szCs w:val="32"/>
          <w:lang w:val="en-US" w:eastAsia="zh-CN"/>
        </w:rPr>
        <w:t>(处）</w:t>
      </w:r>
      <w:r>
        <w:rPr>
          <w:rFonts w:ascii="仿宋" w:hAnsi="仿宋" w:eastAsia="仿宋"/>
          <w:sz w:val="32"/>
          <w:szCs w:val="32"/>
        </w:rPr>
        <w:t>会同有关部门对</w:t>
      </w:r>
      <w:r>
        <w:rPr>
          <w:rFonts w:hint="eastAsia" w:ascii="仿宋" w:hAnsi="仿宋" w:eastAsia="仿宋"/>
          <w:sz w:val="32"/>
          <w:szCs w:val="32"/>
        </w:rPr>
        <w:t>二级学院</w:t>
      </w:r>
      <w:r>
        <w:rPr>
          <w:rFonts w:ascii="仿宋" w:hAnsi="仿宋" w:eastAsia="仿宋"/>
          <w:sz w:val="32"/>
          <w:szCs w:val="32"/>
        </w:rPr>
        <w:t>报送的班级</w:t>
      </w:r>
      <w:r>
        <w:rPr>
          <w:rFonts w:hint="eastAsia" w:ascii="仿宋" w:hAnsi="仿宋" w:eastAsia="仿宋"/>
          <w:sz w:val="32"/>
          <w:szCs w:val="32"/>
        </w:rPr>
        <w:t>、宿舍</w:t>
      </w:r>
      <w:r>
        <w:rPr>
          <w:rFonts w:ascii="仿宋" w:hAnsi="仿宋" w:eastAsia="仿宋"/>
          <w:sz w:val="32"/>
          <w:szCs w:val="32"/>
        </w:rPr>
        <w:t>和个人进行复审，合格的班级</w:t>
      </w:r>
      <w:r>
        <w:rPr>
          <w:rFonts w:hint="eastAsia" w:ascii="仿宋" w:hAnsi="仿宋" w:eastAsia="仿宋"/>
          <w:sz w:val="32"/>
          <w:szCs w:val="32"/>
        </w:rPr>
        <w:t>、宿舍</w:t>
      </w:r>
      <w:r>
        <w:rPr>
          <w:rFonts w:ascii="仿宋" w:hAnsi="仿宋" w:eastAsia="仿宋"/>
          <w:sz w:val="32"/>
          <w:szCs w:val="32"/>
        </w:rPr>
        <w:t>和个人提交校评选工作领导小组审定并公示。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</w:t>
      </w:r>
      <w:r>
        <w:rPr>
          <w:rFonts w:ascii="仿宋" w:hAnsi="仿宋" w:eastAsia="仿宋"/>
          <w:sz w:val="32"/>
          <w:szCs w:val="32"/>
        </w:rPr>
        <w:t>.评选工作坚持公平、公正、公开的原则。各二级学院要依据评选条件认真审核，确保提供的材料真实、准确、有效，提供虚假申报材料的班级和个人将取消参评资格。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四、材料报送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1.报送时间：推荐评选的材料经公示无异议后，于20</w:t>
      </w:r>
      <w:r>
        <w:rPr>
          <w:rFonts w:hint="eastAsia" w:ascii="仿宋" w:hAnsi="仿宋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sz w:val="32"/>
          <w:szCs w:val="32"/>
        </w:rPr>
        <w:t>年1</w:t>
      </w:r>
      <w:r>
        <w:rPr>
          <w:rFonts w:hint="eastAsia" w:ascii="仿宋" w:hAnsi="仿宋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/>
          <w:sz w:val="32"/>
          <w:szCs w:val="32"/>
        </w:rPr>
        <w:t>月1</w:t>
      </w:r>
      <w:r>
        <w:rPr>
          <w:rFonts w:hint="eastAsia" w:ascii="仿宋" w:hAnsi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日前报送学生工作部</w:t>
      </w:r>
      <w:r>
        <w:rPr>
          <w:rFonts w:hint="eastAsia" w:ascii="仿宋" w:hAnsi="仿宋"/>
          <w:sz w:val="32"/>
          <w:szCs w:val="32"/>
          <w:lang w:eastAsia="zh-CN"/>
        </w:rPr>
        <w:t>（处）</w:t>
      </w:r>
      <w:r>
        <w:rPr>
          <w:rFonts w:hint="eastAsia" w:ascii="仿宋" w:hAnsi="仿宋" w:eastAsia="仿宋"/>
          <w:sz w:val="32"/>
          <w:szCs w:val="32"/>
        </w:rPr>
        <w:t>管理科（南区学生活动中心224室）。同时发送推荐材料的电子文本至王家健老师办公平台。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2.填写呈报表、量化考核得分表，A4纸打印装订成册，打印时去掉“附件*”字样；撰写事迹材料，</w:t>
      </w:r>
      <w:r>
        <w:rPr>
          <w:rFonts w:ascii="仿宋" w:hAnsi="仿宋" w:eastAsia="仿宋"/>
          <w:sz w:val="32"/>
          <w:szCs w:val="32"/>
        </w:rPr>
        <w:t>学风优胜班、学风优胜宿舍</w:t>
      </w:r>
      <w:r>
        <w:rPr>
          <w:rFonts w:hint="eastAsia" w:ascii="仿宋" w:hAnsi="仿宋" w:eastAsia="仿宋"/>
          <w:sz w:val="32"/>
          <w:szCs w:val="32"/>
        </w:rPr>
        <w:t>事迹材料不少于1000字，</w:t>
      </w:r>
      <w:r>
        <w:rPr>
          <w:rFonts w:ascii="仿宋" w:hAnsi="仿宋" w:eastAsia="仿宋"/>
          <w:sz w:val="32"/>
          <w:szCs w:val="32"/>
        </w:rPr>
        <w:t>学习标兵</w:t>
      </w:r>
      <w:r>
        <w:rPr>
          <w:rFonts w:hint="eastAsia" w:ascii="仿宋" w:hAnsi="仿宋" w:eastAsia="仿宋"/>
          <w:sz w:val="32"/>
          <w:szCs w:val="32"/>
        </w:rPr>
        <w:t>事迹材料不少于500字，正文仿宋四号，23磅行距。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呈报材料：班级、宿舍评选：学院公示、呈报表、活动材料、班级及个人所获荣誉情况（附证书复印件）、各类统考通过率一览表、其他学风建设突出事迹材料等；个人评选：学院公示、呈报表、个人所获荣誉情况（附证书复印件）、各类统考通过证书复印件、该学年所在班级纯成绩排名表（盖章）、其他学风建设突出事迹材料等。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黑体" w:hAnsi="黑体" w:eastAsia="黑体" w:cs="黑体"/>
          <w:bCs/>
          <w:sz w:val="32"/>
          <w:szCs w:val="32"/>
        </w:rPr>
      </w:pPr>
      <w:r>
        <w:rPr>
          <w:rFonts w:hint="eastAsia" w:ascii="黑体" w:hAnsi="黑体" w:eastAsia="黑体" w:cs="黑体"/>
          <w:bCs/>
          <w:sz w:val="32"/>
          <w:szCs w:val="32"/>
        </w:rPr>
        <w:t>五、表彰和奖励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654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被评为三明学院“十大学风优胜班”、“十大学风优胜宿舍”和“十大学习标兵”，学校将授予荣誉称号并给予奖励</w:t>
      </w:r>
      <w:r>
        <w:rPr>
          <w:rFonts w:hint="eastAsia" w:ascii="仿宋" w:hAnsi="仿宋" w:eastAsia="仿宋"/>
          <w:sz w:val="32"/>
          <w:szCs w:val="32"/>
        </w:rPr>
        <w:t>（学风优胜班奖励1000元，学风优胜宿舍奖励500元，学习标兵奖励500元）、</w:t>
      </w:r>
      <w:r>
        <w:rPr>
          <w:rFonts w:ascii="仿宋" w:hAnsi="仿宋" w:eastAsia="仿宋"/>
          <w:sz w:val="32"/>
          <w:szCs w:val="32"/>
        </w:rPr>
        <w:t>表彰</w:t>
      </w:r>
      <w:r>
        <w:rPr>
          <w:rFonts w:hint="eastAsia" w:ascii="仿宋" w:hAnsi="仿宋" w:eastAsia="仿宋"/>
          <w:sz w:val="32"/>
          <w:szCs w:val="32"/>
        </w:rPr>
        <w:t>和宣传</w:t>
      </w:r>
      <w:r>
        <w:rPr>
          <w:rFonts w:ascii="仿宋" w:hAnsi="仿宋" w:eastAsia="仿宋"/>
          <w:sz w:val="32"/>
          <w:szCs w:val="32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40" w:lineRule="exact"/>
        <w:ind w:left="0" w:leftChars="0" w:right="0" w:rightChars="0"/>
        <w:textAlignment w:val="auto"/>
        <w:rPr>
          <w:rFonts w:ascii="仿宋" w:hAnsi="仿宋" w:eastAsia="仿宋"/>
          <w:b/>
          <w:bCs/>
          <w:sz w:val="32"/>
          <w:szCs w:val="32"/>
        </w:rPr>
      </w:pPr>
      <w:r>
        <w:rPr>
          <w:rFonts w:ascii="仿宋" w:hAnsi="仿宋" w:eastAsia="仿宋"/>
          <w:b/>
          <w:bCs/>
          <w:sz w:val="32"/>
          <w:szCs w:val="32"/>
        </w:rPr>
        <w:t xml:space="preserve">                    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附件：</w:t>
      </w:r>
      <w:r>
        <w:rPr>
          <w:rFonts w:ascii="仿宋" w:hAnsi="仿宋" w:eastAsia="仿宋"/>
          <w:sz w:val="32"/>
          <w:szCs w:val="32"/>
        </w:rPr>
        <w:t>1.三明学院“十大学风优胜班”呈报表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2.三明学院“十大学风优胜班”量化考核评分表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3.三明学院“十大学风优胜班”量化考核得分表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4.三明学院“十大学风优胜宿舍”呈报表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5.三明学院“十大学习标兵”呈报表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>6.三明学院“十大学习标兵”、“十大学风优胜宿舍舍员”量化考核评分表</w:t>
      </w:r>
    </w:p>
    <w:p>
      <w:pPr>
        <w:pStyle w:val="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0" w:line="540" w:lineRule="exact"/>
        <w:ind w:left="0" w:leftChars="0" w:right="0" w:rightChars="0" w:firstLine="981" w:firstLineChars="300"/>
        <w:jc w:val="left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7.</w:t>
      </w:r>
      <w:r>
        <w:rPr>
          <w:rFonts w:ascii="仿宋" w:hAnsi="仿宋" w:eastAsia="仿宋"/>
          <w:sz w:val="32"/>
          <w:szCs w:val="32"/>
        </w:rPr>
        <w:t>三明学院“十大学习标兵”、“十大学风优胜宿舍员”量化考核得分表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textAlignment w:val="auto"/>
        <w:rPr>
          <w:rFonts w:hint="eastAsia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40" w:lineRule="exact"/>
        <w:jc w:val="center"/>
        <w:textAlignment w:val="auto"/>
        <w:rPr>
          <w:rFonts w:hint="eastAsia" w:ascii="方正小标宋简体" w:hAnsi="Calibri" w:eastAsia="方正小标宋简体" w:cs="Arial"/>
          <w:sz w:val="44"/>
          <w:szCs w:val="44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  <w:r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  <w:t xml:space="preserve">                                学生工作部（处）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left"/>
        <w:textAlignment w:val="auto"/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</w:pPr>
      <w:r>
        <w:rPr>
          <w:rFonts w:hint="eastAsia" w:ascii="仿宋_GB2312" w:hAnsi="Verdana" w:eastAsia="仿宋_GB2312" w:cs="仿宋_GB2312"/>
          <w:kern w:val="0"/>
          <w:szCs w:val="32"/>
          <w:lang w:val="en-US" w:eastAsia="zh-CN"/>
        </w:rPr>
        <w:t xml:space="preserve">                                2020年11月6日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both"/>
        <w:textAlignment w:val="auto"/>
        <w:rPr>
          <w:rFonts w:hint="default"/>
          <w:lang w:val="en-US"/>
        </w:rPr>
      </w:pPr>
    </w:p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both"/>
        <w:textAlignment w:val="auto"/>
        <w:rPr>
          <w:rFonts w:hint="default"/>
          <w:lang w:val="en-US"/>
        </w:rPr>
      </w:pPr>
    </w:p>
    <w:tbl>
      <w:tblPr>
        <w:tblStyle w:val="8"/>
        <w:tblpPr w:leftFromText="180" w:rightFromText="180" w:vertAnchor="text" w:horzAnchor="page" w:tblpX="1831" w:tblpY="1424"/>
        <w:tblW w:w="85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8512" w:type="dxa"/>
            <w:tcBorders>
              <w:left w:val="nil"/>
              <w:right w:val="nil"/>
            </w:tcBorders>
          </w:tcPr>
          <w:p>
            <w:pPr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spacing w:line="540" w:lineRule="exact"/>
              <w:ind w:firstLine="163" w:firstLineChars="50"/>
              <w:textAlignment w:val="auto"/>
              <w:rPr>
                <w:rFonts w:ascii="仿宋_GB2312" w:hAnsi="微软雅黑" w:eastAsia="仿宋_GB2312"/>
                <w:szCs w:val="32"/>
                <w:shd w:val="clear" w:color="auto" w:fill="FFFFFF"/>
              </w:rPr>
            </w:pP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三明学院学生工作部（处）</w:t>
            </w:r>
            <w:r>
              <w:rPr>
                <w:rFonts w:ascii="仿宋_GB2312" w:hAnsi="微软雅黑" w:eastAsia="仿宋_GB2312"/>
                <w:szCs w:val="32"/>
                <w:shd w:val="clear" w:color="auto" w:fill="FFFFFF"/>
              </w:rPr>
              <w:t xml:space="preserve">    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 xml:space="preserve"> </w:t>
            </w:r>
            <w:r>
              <w:rPr>
                <w:rFonts w:ascii="仿宋_GB2312" w:hAnsi="微软雅黑" w:eastAsia="仿宋_GB2312"/>
                <w:szCs w:val="32"/>
                <w:shd w:val="clear" w:color="auto" w:fill="FFFFFF"/>
              </w:rPr>
              <w:t>20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20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年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11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月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  <w:lang w:val="en-US" w:eastAsia="zh-CN"/>
              </w:rPr>
              <w:t>6</w:t>
            </w:r>
            <w:r>
              <w:rPr>
                <w:rFonts w:hint="eastAsia" w:ascii="仿宋_GB2312" w:hAnsi="微软雅黑" w:eastAsia="仿宋_GB2312"/>
                <w:szCs w:val="32"/>
                <w:shd w:val="clear" w:color="auto" w:fill="FFFFFF"/>
              </w:rPr>
              <w:t>日印发</w:t>
            </w:r>
          </w:p>
        </w:tc>
      </w:tr>
    </w:tbl>
    <w:p>
      <w:pPr>
        <w:pageBreakBefore w:val="0"/>
        <w:kinsoku/>
        <w:wordWrap/>
        <w:overflowPunct/>
        <w:topLinePunct w:val="0"/>
        <w:autoSpaceDE/>
        <w:autoSpaceDN/>
        <w:bidi w:val="0"/>
        <w:spacing w:line="540" w:lineRule="exact"/>
        <w:jc w:val="both"/>
        <w:textAlignment w:val="auto"/>
        <w:rPr>
          <w:rFonts w:hint="default"/>
          <w:lang w:val="en-US"/>
        </w:rPr>
      </w:pPr>
    </w:p>
    <w:sectPr>
      <w:pgSz w:w="11906" w:h="16838"/>
      <w:pgMar w:top="2098" w:right="1474" w:bottom="1984" w:left="1587" w:header="851" w:footer="992" w:gutter="0"/>
      <w:cols w:space="0" w:num="1"/>
      <w:rtlGutter w:val="0"/>
      <w:docGrid w:type="linesAndChars" w:linePitch="579" w:charSpace="15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Perpetua">
    <w:panose1 w:val="02020502060401020303"/>
    <w:charset w:val="00"/>
    <w:family w:val="auto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20"/>
  <w:bordersDoNotSurroundHeader w:val="0"/>
  <w:bordersDoNotSurroundFooter w:val="0"/>
  <w:documentProtection w:enforcement="0"/>
  <w:defaultTabStop w:val="420"/>
  <w:evenAndOddHeaders w:val="1"/>
  <w:drawingGridHorizontalSpacing w:val="164"/>
  <w:drawingGridVerticalSpacing w:val="29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5291B0E"/>
    <w:rsid w:val="0AC70D06"/>
    <w:rsid w:val="0D495286"/>
    <w:rsid w:val="1295266B"/>
    <w:rsid w:val="130B0874"/>
    <w:rsid w:val="24FF2061"/>
    <w:rsid w:val="25574162"/>
    <w:rsid w:val="273E1675"/>
    <w:rsid w:val="2AEE34C8"/>
    <w:rsid w:val="2C0C74E9"/>
    <w:rsid w:val="2C815F17"/>
    <w:rsid w:val="3128193D"/>
    <w:rsid w:val="46E2374C"/>
    <w:rsid w:val="476B02CF"/>
    <w:rsid w:val="492F0419"/>
    <w:rsid w:val="49A46BED"/>
    <w:rsid w:val="4B231DEB"/>
    <w:rsid w:val="4BBF129A"/>
    <w:rsid w:val="4BCB6E94"/>
    <w:rsid w:val="50041B1C"/>
    <w:rsid w:val="50BB722E"/>
    <w:rsid w:val="50CE407B"/>
    <w:rsid w:val="531F54E6"/>
    <w:rsid w:val="58FB05FE"/>
    <w:rsid w:val="5B96658B"/>
    <w:rsid w:val="60CD036A"/>
    <w:rsid w:val="637873AC"/>
    <w:rsid w:val="65021C3D"/>
    <w:rsid w:val="68EF1468"/>
    <w:rsid w:val="6BB77937"/>
    <w:rsid w:val="6C3E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asciiTheme="minorHAnsi" w:hAnsiTheme="minorHAnsi" w:cstheme="minorBidi"/>
      <w:kern w:val="2"/>
      <w:sz w:val="32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qFormat/>
    <w:uiPriority w:val="0"/>
    <w:pPr>
      <w:spacing w:after="120"/>
    </w:pPr>
    <w:rPr>
      <w:sz w:val="32"/>
    </w:rPr>
  </w:style>
  <w:style w:type="paragraph" w:styleId="7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10">
    <w:name w:val="三明学院学生工作部（处）文件"/>
    <w:basedOn w:val="7"/>
    <w:qFormat/>
    <w:uiPriority w:val="0"/>
    <w:rPr>
      <w:rFonts w:asciiTheme="minorAscii" w:hAnsiTheme="minorAscii"/>
      <w:b w:val="0"/>
      <w:sz w:val="84"/>
    </w:rPr>
  </w:style>
  <w:style w:type="paragraph" w:customStyle="1" w:styleId="11">
    <w:name w:val="样式1"/>
    <w:basedOn w:val="7"/>
    <w:next w:val="7"/>
    <w:qFormat/>
    <w:uiPriority w:val="0"/>
    <w:rPr>
      <w:rFonts w:asciiTheme="minorAscii" w:hAnsiTheme="minorAsci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平衡">
  <a:themeElements>
    <a:clrScheme name="Equity">
      <a:dk1>
        <a:sysClr val="windowText" lastClr="000000"/>
      </a:dk1>
      <a:lt1>
        <a:sysClr val="window" lastClr="FFFFFF"/>
      </a:lt1>
      <a:dk2>
        <a:srgbClr val="696464"/>
      </a:dk2>
      <a:lt2>
        <a:srgbClr val="E9E5DC"/>
      </a:lt2>
      <a:accent1>
        <a:srgbClr val="D34817"/>
      </a:accent1>
      <a:accent2>
        <a:srgbClr val="9B2D1F"/>
      </a:accent2>
      <a:accent3>
        <a:srgbClr val="A28E6A"/>
      </a:accent3>
      <a:accent4>
        <a:srgbClr val="956251"/>
      </a:accent4>
      <a:accent5>
        <a:srgbClr val="918485"/>
      </a:accent5>
      <a:accent6>
        <a:srgbClr val="855D5D"/>
      </a:accent6>
      <a:hlink>
        <a:srgbClr val="CC9900"/>
      </a:hlink>
      <a:folHlink>
        <a:srgbClr val="96A9A9"/>
      </a:folHlink>
    </a:clrScheme>
    <a:fontScheme name="Equity">
      <a:majorFont>
        <a:latin typeface="Franklin Gothic Book"/>
        <a:ea typeface=""/>
        <a:cs typeface=""/>
        <a:font script="Grek" typeface="Calibri"/>
        <a:font script="Cyrl" typeface="Calibri"/>
        <a:font script="Jpan" typeface="HGｺﾞｼｯｸM"/>
        <a:font script="Hang" typeface="바탕"/>
        <a:font script="Hans" typeface="幼圆"/>
        <a:font script="Hant" typeface="微軟正黑體"/>
        <a:font script="Arab" typeface="Tahoma"/>
        <a:font script="Hebr" typeface="Aharoni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Perpetua"/>
        <a:ea typeface=""/>
        <a:cs typeface=""/>
        <a:font script="Grek" typeface="Cambria"/>
        <a:font script="Cyrl" typeface="Cambria"/>
        <a:font script="Jpan" typeface="HG創英ﾌﾟﾚｾﾞﾝｽEB"/>
        <a:font script="Hang" typeface="맑은 고딕"/>
        <a:font script="Hans" typeface="宋体"/>
        <a:font script="Hant" typeface="新細明體"/>
        <a:font script="Arab" typeface="Times New Roman"/>
        <a:font script="Hebr" typeface="Aharoni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40000"/>
                <a:satMod val="165000"/>
              </a:schemeClr>
            </a:gs>
            <a:gs pos="50000">
              <a:schemeClr val="phClr">
                <a:shade val="80000"/>
                <a:satMod val="155000"/>
              </a:schemeClr>
            </a:gs>
            <a:gs pos="100000">
              <a:schemeClr val="phClr">
                <a:tint val="95000"/>
                <a:satMod val="200000"/>
              </a:schemeClr>
            </a:gs>
          </a:gsLst>
          <a:lin ang="16200000" scaled="1"/>
        </a:gradFill>
        <a:blipFill>
          <a:blip xmlns:r="http://schemas.openxmlformats.org/officeDocument/2006/relationships" r:embed="rId1">
            <a:duotone>
              <a:schemeClr val="phClr">
                <a:tint val="95000"/>
                <a:satMod val="200000"/>
              </a:schemeClr>
              <a:schemeClr val="phClr">
                <a:shade val="80000"/>
                <a:satMod val="100000"/>
              </a:schemeClr>
            </a:duotone>
          </a:blip>
          <a:tile tx="0" ty="0" sx="55000" sy="55000" flip="none" algn="tl"/>
        </a:blip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</TotalTime>
  <ScaleCrop>false</ScaleCrop>
  <LinksUpToDate>false</LinksUpToDate>
  <CharactersWithSpaces>109</CharactersWithSpaces>
  <Application>WPS Office_11.1.0.10072_F1E327BC-269C-435d-A152-05C5408002CA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2019-06-12T10:42:00Z</dcterms:created>
  <dc:creator>qzuser</dc:creator>
  <cp:lastModifiedBy>苏潇</cp:lastModifiedBy>
  <dcterms:modified xsi:type="dcterms:W3CDTF">2020-11-06T11:42:06Z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