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FF0000"/>
          <w:spacing w:val="-68"/>
          <w:sz w:val="104"/>
          <w:szCs w:val="104"/>
        </w:rPr>
      </w:pPr>
    </w:p>
    <w:p>
      <w:pPr>
        <w:rPr>
          <w:sz w:val="24"/>
        </w:rPr>
      </w:pPr>
      <w:r>
        <w:rPr>
          <w:rFonts w:hint="eastAsia" w:ascii="黑体" w:hAnsi="黑体" w:eastAsia="黑体" w:cs="黑体"/>
          <w:color w:val="FF0000"/>
          <w:spacing w:val="-68"/>
          <w:sz w:val="104"/>
          <w:szCs w:val="104"/>
        </w:rPr>
        <w:t>三明学院教务处文件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明学院教字</w:t>
      </w:r>
      <w:r>
        <w:rPr>
          <w:rFonts w:hint="eastAsia" w:ascii="宋体" w:hAnsi="宋体"/>
          <w:sz w:val="28"/>
          <w:szCs w:val="28"/>
        </w:rPr>
        <w:t xml:space="preserve">2019（ </w:t>
      </w:r>
      <w:r>
        <w:rPr>
          <w:rFonts w:hint="eastAsia" w:ascii="宋体" w:hAnsi="宋体"/>
          <w:sz w:val="28"/>
          <w:szCs w:val="28"/>
          <w:lang w:val="en-US" w:eastAsia="zh-CN"/>
        </w:rPr>
        <w:t>43</w:t>
      </w:r>
      <w:r>
        <w:rPr>
          <w:rFonts w:hint="eastAsia" w:ascii="宋体" w:hAnsi="宋体"/>
          <w:sz w:val="28"/>
          <w:szCs w:val="28"/>
        </w:rPr>
        <w:t xml:space="preserve"> ）号</w:t>
      </w:r>
    </w:p>
    <w:p>
      <w:pPr>
        <w:spacing w:line="440" w:lineRule="exact"/>
        <w:rPr>
          <w:rFonts w:hint="eastAsia" w:ascii="宋体" w:hAnsi="宋体"/>
          <w:b/>
          <w:sz w:val="36"/>
          <w:szCs w:val="36"/>
        </w:rPr>
      </w:pPr>
      <w:r>
        <w:rPr>
          <w:color w:val="FF66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147320</wp:posOffset>
                </wp:positionV>
                <wp:extent cx="5543550" cy="12065"/>
                <wp:effectExtent l="0" t="12700" r="0" b="3238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12065"/>
                        </a:xfrm>
                        <a:prstGeom prst="line">
                          <a:avLst/>
                        </a:prstGeom>
                        <a:ln w="635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10.4pt;margin-top:11.6pt;height:0.95pt;width:436.5pt;z-index:251660288;mso-width-relative:page;mso-height-relative:page;" filled="f" stroked="t" coordsize="21600,21600" o:gfxdata="UEsDBAoAAAAAAIdO4kAAAAAAAAAAAAAAAAAEAAAAZHJzL1BLAwQUAAAACACHTuJAhkcmBtgAAAAJ&#10;AQAADwAAAGRycy9kb3ducmV2LnhtbE2PMU/DMBCFdyT+g3VIbK2doEIV4nRoyZYBAgubGx9J2vgc&#10;xW5a/j3H1G53757e+y7fXNwgZpxC70lDslQgkBpve2o1fH2WizWIEA1ZM3hCDb8YYFPc3+Ums/5M&#10;HzjXsRUcQiEzGroYx0zK0HToTFj6EYlvP35yJvI6tdJO5szhbpCpUs/SmZ64oTMjbjtsjvXJaWjL&#10;+WW7q94OddlXh/fyu0p2x0brx4dEvYKIeIlXM/zjMzoUzLT3J7JBDBoWqWL0qCF9SkGwYb1Kediz&#10;sEpAFrm8/aD4A1BLAwQUAAAACACHTuJAyBGTD88BAACQAwAADgAAAGRycy9lMm9Eb2MueG1srVNL&#10;jhMxEN0jcQfLe9KdDB2hVjqzmBA2CEaCYV/xJ23JP7lMOjkL12DFhuPMNSg7Ifw2CNELq1yf53qv&#10;qle3R2fZQSU0wQ98Pms5U14Eafx+4A/vt89ecIYZvAQbvBr4SSG/XT99sppirxZhDFaqxAjEYz/F&#10;gY85x75pUIzKAc5CVJ6COiQHma5p38gEE6E72yzadtlMIcmYglCI5N2cg3xd8bVWIr/VGlVmduDU&#10;W65nqueunM16Bf0+QRyNuLQB/9CFA+Pp0SvUBjKwj8n8AeWMSAGDzjMRXBO0NkJVDsRm3v7G5t0I&#10;UVUuJA7Gq0z4/2DFm8N9YkbS7Djz4GhEj58+P375yhZFmyliTyl3/j5dbhjvUyF61MkxbU38UEqL&#10;h8iwY1X2dFVWHTMT5Oy65zddRwMQFJsv2mVX0JszTCmOCfMrFRwrxsCt8YU49HB4jfmc+j2luK1n&#10;08CXN11bMIEWR1vIZLpIVNDvazEGa+TWWFtKMO13dzaxA9AqbLctfZcefkkrr2wAx3NeDZU06EcF&#10;8qWXLJ8iieRpm3npwSnJmVW0/MWqmRmM/ZtMom89qVBEPstarF2Qp6p29dPYq06XFS179fO9Vv/4&#10;kdbf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ZHJgbYAAAACQEAAA8AAAAAAAAAAQAgAAAAIgAA&#10;AGRycy9kb3ducmV2LnhtbFBLAQIUABQAAAAIAIdO4kDIEZMPzwEAAJADAAAOAAAAAAAAAAEAIAAA&#10;ACcBAABkcnMvZTJvRG9jLnhtbFBLBQYAAAAABgAGAFkBAABoBQAAAAA=&#10;">
                <v:fill on="f" focussize="0,0"/>
                <v:stroke weight="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关于2019年新进教师主讲资格认定</w:t>
      </w:r>
      <w:r>
        <w:rPr>
          <w:rFonts w:hint="eastAsia" w:ascii="宋体" w:hAnsi="宋体"/>
          <w:b/>
          <w:sz w:val="36"/>
          <w:szCs w:val="36"/>
          <w:lang w:eastAsia="zh-CN"/>
        </w:rPr>
        <w:t>的</w:t>
      </w:r>
      <w:r>
        <w:rPr>
          <w:rFonts w:hint="eastAsia" w:ascii="宋体" w:hAnsi="宋体"/>
          <w:b/>
          <w:sz w:val="36"/>
          <w:szCs w:val="36"/>
        </w:rPr>
        <w:t>通知</w:t>
      </w:r>
    </w:p>
    <w:p>
      <w:pPr>
        <w:spacing w:line="520" w:lineRule="exact"/>
        <w:ind w:firstLine="627" w:firstLineChars="196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</w:p>
    <w:p>
      <w:pPr>
        <w:spacing w:line="520" w:lineRule="exact"/>
        <w:ind w:firstLine="627" w:firstLineChars="196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根据《三明学院新进专任教师培养办法》（明院办发〔2017〕39号）文件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精神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，学校决定于12月31日（周二）在博学楼422室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2019年新进教师主讲资格认定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。现将有关事项通知如下：</w:t>
      </w:r>
    </w:p>
    <w:p>
      <w:pPr>
        <w:spacing w:line="520" w:lineRule="exact"/>
        <w:ind w:firstLine="630" w:firstLineChars="196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ar"/>
        </w:rPr>
        <w:t>一、时间安排</w:t>
      </w:r>
    </w:p>
    <w:p>
      <w:pPr>
        <w:spacing w:line="520" w:lineRule="exact"/>
        <w:ind w:firstLine="627" w:firstLineChars="196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1.教师主讲资格认定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：</w:t>
      </w:r>
    </w:p>
    <w:p>
      <w:pPr>
        <w:spacing w:line="520" w:lineRule="exact"/>
        <w:ind w:firstLine="627" w:firstLineChars="196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上午8:10-12:00；下午13:00-15: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0</w:t>
      </w:r>
    </w:p>
    <w:p>
      <w:pPr>
        <w:spacing w:line="520" w:lineRule="exact"/>
        <w:ind w:firstLine="627" w:firstLineChars="196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2.颁证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仪式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 xml:space="preserve">：下午16:00-17:05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cr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ar"/>
        </w:rPr>
        <w:t xml:space="preserve">    二、认定内容</w:t>
      </w:r>
    </w:p>
    <w:p>
      <w:pPr>
        <w:spacing w:line="520" w:lineRule="exact"/>
        <w:ind w:firstLine="627" w:firstLineChars="196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教师主讲资格认定内容包括五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个部分：教学大纲、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教案设计、片段教学、教学反思及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教师礼仪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ascii="仿宋" w:hAnsi="仿宋" w:eastAsia="仿宋" w:cs="仿宋"/>
          <w:sz w:val="32"/>
          <w:szCs w:val="32"/>
        </w:rPr>
        <w:t>部分成绩</w:t>
      </w:r>
      <w:r>
        <w:rPr>
          <w:rFonts w:hint="eastAsia" w:ascii="仿宋" w:hAnsi="仿宋" w:eastAsia="仿宋" w:cs="仿宋"/>
          <w:sz w:val="32"/>
          <w:szCs w:val="32"/>
        </w:rPr>
        <w:t>评定权重如下：2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0%、20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%、45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%、10%、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%。认定评价标准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见附件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1。</w:t>
      </w:r>
    </w:p>
    <w:p>
      <w:pPr>
        <w:spacing w:line="520" w:lineRule="exact"/>
        <w:ind w:firstLine="627" w:firstLineChars="196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1.教学大纲。根据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拟任课程所在专业人才培养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方案要求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确定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课程教学目标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，内容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安排、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教学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模式等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体现成果导向应用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型人才培养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理念。</w:t>
      </w:r>
    </w:p>
    <w:p>
      <w:pPr>
        <w:spacing w:line="520" w:lineRule="exact"/>
        <w:ind w:firstLine="627" w:firstLineChars="196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2.教案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设计。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根据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课程教学大纲，设计一次课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(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分钟) 的详细教案，需包含课题名称、课时数、授课专业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班级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、学情分析、教学目标、课程资源、教学内容与过程、教学评价、预习任务及课后作业等要素。</w:t>
      </w:r>
    </w:p>
    <w:p>
      <w:pPr>
        <w:pStyle w:val="13"/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3.片段教学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。在拟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课程所选取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1次课教学设计基础上，制作课件，使用普通话进行10-15分钟的片段教学。自主邀请5-8名学生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听课。</w:t>
      </w:r>
      <w:r>
        <w:rPr>
          <w:rFonts w:hint="eastAsia" w:ascii="仿宋_GB2312" w:hAnsi="仿宋_GB2312" w:eastAsia="仿宋_GB2312" w:cs="仿宋_GB2312"/>
          <w:color w:val="auto"/>
          <w:sz w:val="32"/>
        </w:rPr>
        <w:t>根据课程教学需要，自主携带相应教具辅助</w:t>
      </w:r>
      <w:r>
        <w:rPr>
          <w:rFonts w:ascii="仿宋_GB2312" w:hAnsi="仿宋_GB2312" w:eastAsia="仿宋_GB2312" w:cs="仿宋_GB2312"/>
          <w:color w:val="auto"/>
          <w:sz w:val="32"/>
        </w:rPr>
        <w:t>教学</w:t>
      </w:r>
      <w:r>
        <w:rPr>
          <w:rFonts w:hint="eastAsia" w:ascii="仿宋_GB2312" w:hAnsi="仿宋_GB2312" w:eastAsia="仿宋_GB2312" w:cs="仿宋_GB2312"/>
          <w:color w:val="auto"/>
          <w:sz w:val="32"/>
        </w:rPr>
        <w:t>。鼓励</w:t>
      </w:r>
      <w:r>
        <w:rPr>
          <w:rFonts w:ascii="仿宋_GB2312" w:hAnsi="仿宋_GB2312" w:eastAsia="仿宋_GB2312" w:cs="仿宋_GB2312"/>
          <w:color w:val="auto"/>
          <w:sz w:val="32"/>
        </w:rPr>
        <w:t>使用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教学</w:t>
      </w:r>
      <w:r>
        <w:rPr>
          <w:rFonts w:ascii="仿宋_GB2312" w:hAnsi="仿宋_GB2312" w:eastAsia="仿宋_GB2312" w:cs="仿宋_GB2312"/>
          <w:color w:val="auto"/>
          <w:sz w:val="32"/>
        </w:rPr>
        <w:t>即时交互工具，开展</w:t>
      </w:r>
      <w:r>
        <w:rPr>
          <w:rFonts w:hint="eastAsia" w:ascii="仿宋_GB2312" w:hAnsi="仿宋_GB2312" w:eastAsia="仿宋_GB2312" w:cs="仿宋_GB2312"/>
          <w:color w:val="auto"/>
          <w:sz w:val="32"/>
        </w:rPr>
        <w:t>教学</w:t>
      </w:r>
      <w:r>
        <w:rPr>
          <w:rFonts w:ascii="仿宋_GB2312" w:hAnsi="仿宋_GB2312" w:eastAsia="仿宋_GB2312" w:cs="仿宋_GB2312"/>
          <w:color w:val="auto"/>
          <w:sz w:val="32"/>
        </w:rPr>
        <w:t>活动。</w:t>
      </w:r>
    </w:p>
    <w:p>
      <w:pPr>
        <w:pStyle w:val="13"/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4.教学反思。从教学理念、教学方法和教学过程三方面进行反思，采取口头汇报形式，时间为5分钟。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</w:t>
      </w:r>
      <w:r>
        <w:rPr>
          <w:rFonts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教师</w:t>
      </w:r>
      <w:r>
        <w:rPr>
          <w:rFonts w:ascii="仿宋" w:hAnsi="仿宋" w:eastAsia="仿宋" w:cs="仿宋"/>
          <w:color w:val="auto"/>
          <w:sz w:val="32"/>
          <w:szCs w:val="32"/>
        </w:rPr>
        <w:t>礼仪。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仪容仪表</w:t>
      </w:r>
      <w:r>
        <w:rPr>
          <w:rFonts w:ascii="仿宋" w:hAnsi="仿宋" w:eastAsia="仿宋" w:cs="仿宋"/>
          <w:color w:val="auto"/>
          <w:sz w:val="32"/>
          <w:szCs w:val="32"/>
        </w:rPr>
        <w:t>端庄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得体</w:t>
      </w:r>
      <w:r>
        <w:rPr>
          <w:rFonts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教态自然、</w:t>
      </w:r>
      <w:r>
        <w:rPr>
          <w:rFonts w:hint="eastAsia" w:ascii="仿宋" w:hAnsi="仿宋" w:eastAsia="仿宋" w:cs="仿宋"/>
          <w:sz w:val="32"/>
          <w:szCs w:val="32"/>
        </w:rPr>
        <w:t>自信，精神饱满，体现教师职业特点。</w:t>
      </w:r>
    </w:p>
    <w:p>
      <w:pPr>
        <w:spacing w:line="520" w:lineRule="exact"/>
        <w:ind w:firstLine="630" w:firstLineChars="196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ar"/>
        </w:rPr>
        <w:t>三、工作要求</w:t>
      </w:r>
    </w:p>
    <w:p>
      <w:pPr>
        <w:spacing w:line="520" w:lineRule="exact"/>
        <w:ind w:firstLine="627" w:firstLineChars="196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.请各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位新教师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积极主动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与指导教师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沟通与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交流，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参考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认定评价标准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认真准备。</w:t>
      </w:r>
    </w:p>
    <w:p>
      <w:pPr>
        <w:spacing w:line="520" w:lineRule="exact"/>
        <w:ind w:firstLine="627" w:firstLineChars="196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考核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材料上网。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请在“三明学院超星网络教学平台”（网址：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http://smxy.fy.chaoxing.com/portal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）建立拟授课程，并将课程教学大纲、一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教案及一个片段教学课件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于12月27日（周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）前上传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传好后将课程“邀请码”发至李霞老师微信，以便于评委提前进行在线评审。</w:t>
      </w:r>
    </w:p>
    <w:p>
      <w:pPr>
        <w:spacing w:line="520" w:lineRule="exact"/>
        <w:ind w:firstLine="627" w:firstLineChars="196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3.请着正装、佩戴校徽参加认证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考核活动，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充分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展示个人教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师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风采。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请按照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认定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流程（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见附件2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）各自授课时间，提前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15分钟到博学楼421等候。</w:t>
      </w:r>
    </w:p>
    <w:p>
      <w:pPr>
        <w:spacing w:line="520" w:lineRule="exact"/>
        <w:ind w:firstLine="59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 四</w:t>
      </w:r>
      <w:r>
        <w:rPr>
          <w:rFonts w:ascii="仿宋" w:hAnsi="仿宋" w:eastAsia="仿宋" w:cs="仿宋"/>
          <w:b/>
          <w:sz w:val="30"/>
          <w:szCs w:val="30"/>
        </w:rPr>
        <w:t>、考核结果使用</w:t>
      </w:r>
    </w:p>
    <w:p>
      <w:pPr>
        <w:spacing w:line="520" w:lineRule="exact"/>
        <w:ind w:firstLine="627" w:firstLineChars="196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专家评分≥60分即为“合格”。经专家组集体评议，4/5专家评分“合格”方为通过。认定合格者，将颁发“三明学院主讲教师资格证”，认定不合格者，须继续承担助教工作，待下一轮通过认定后方可正式授课。</w:t>
      </w:r>
    </w:p>
    <w:p>
      <w:pPr>
        <w:spacing w:line="520" w:lineRule="exact"/>
        <w:ind w:firstLine="588" w:firstLineChars="196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520" w:lineRule="exact"/>
        <w:ind w:firstLine="588" w:firstLineChars="196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三明学院教师主讲资格认定评分标准</w:t>
      </w:r>
    </w:p>
    <w:p>
      <w:pPr>
        <w:spacing w:line="520" w:lineRule="exact"/>
        <w:ind w:firstLine="588" w:firstLineChars="19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2：三明学院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2019新教师主讲资格认定流程</w:t>
      </w:r>
    </w:p>
    <w:p>
      <w:pPr>
        <w:spacing w:line="480" w:lineRule="exact"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80" w:lineRule="exact"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80" w:lineRule="exact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教务处（教师教学发展中心）    </w:t>
      </w:r>
    </w:p>
    <w:p>
      <w:pPr>
        <w:spacing w:line="480" w:lineRule="exact"/>
        <w:ind w:firstLine="5100" w:firstLineChars="1700"/>
        <w:jc w:val="both"/>
        <w:rPr>
          <w:rFonts w:ascii="宋体" w:hAnsi="宋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2019年12月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宋体" w:hAnsi="宋体"/>
          <w:sz w:val="30"/>
          <w:szCs w:val="30"/>
        </w:rPr>
        <w:t xml:space="preserve">               </w:t>
      </w:r>
    </w:p>
    <w:p>
      <w:pPr>
        <w:widowControl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br w:type="pag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附件1</w:t>
      </w:r>
      <w:r>
        <w:rPr>
          <w:rFonts w:hint="eastAsia" w:ascii="宋体" w:hAnsi="宋体"/>
          <w:sz w:val="30"/>
          <w:szCs w:val="30"/>
        </w:rPr>
        <w:t xml:space="preserve">        </w:t>
      </w:r>
    </w:p>
    <w:p>
      <w:pPr>
        <w:spacing w:line="400" w:lineRule="exact"/>
        <w:ind w:right="210" w:firstLine="1920" w:firstLineChars="600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三明</w:t>
      </w:r>
      <w:r>
        <w:rPr>
          <w:rFonts w:ascii="黑体" w:eastAsia="黑体"/>
          <w:bCs/>
          <w:sz w:val="32"/>
          <w:szCs w:val="32"/>
        </w:rPr>
        <w:t>学院</w:t>
      </w:r>
      <w:r>
        <w:rPr>
          <w:rFonts w:hint="eastAsia" w:ascii="黑体" w:eastAsia="黑体"/>
          <w:bCs/>
          <w:sz w:val="32"/>
          <w:szCs w:val="32"/>
        </w:rPr>
        <w:t>教师主讲资格认定评分标准</w:t>
      </w:r>
    </w:p>
    <w:p>
      <w:pPr>
        <w:spacing w:line="400" w:lineRule="atLeast"/>
        <w:ind w:firstLine="140" w:firstLineChars="50"/>
        <w:rPr>
          <w:rFonts w:eastAsia="黑体"/>
          <w:kern w:val="0"/>
          <w:sz w:val="24"/>
        </w:rPr>
      </w:pPr>
      <w:r>
        <w:rPr>
          <w:rFonts w:hint="eastAsia" w:ascii="仿宋_GB2312" w:hAnsi="仿宋_GB2312" w:eastAsia="仿宋_GB2312"/>
          <w:kern w:val="0"/>
          <w:sz w:val="28"/>
        </w:rPr>
        <w:t xml:space="preserve">      </w:t>
      </w:r>
      <w:r>
        <w:rPr>
          <w:rFonts w:hint="eastAsia" w:ascii="仿宋_GB2312" w:hAnsi="仿宋_GB2312" w:eastAsia="仿宋_GB2312"/>
          <w:kern w:val="0"/>
          <w:sz w:val="24"/>
        </w:rPr>
        <w:t xml:space="preserve">     </w:t>
      </w:r>
    </w:p>
    <w:tbl>
      <w:tblPr>
        <w:tblStyle w:val="7"/>
        <w:tblW w:w="7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27"/>
        <w:gridCol w:w="3738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67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 w:val="24"/>
              </w:rPr>
              <w:t>评测要求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课程教学</w:t>
            </w:r>
            <w:r>
              <w:rPr>
                <w:rFonts w:ascii="仿宋_GB2312" w:hAnsi="仿宋_GB2312" w:eastAsia="仿宋_GB2312"/>
                <w:bCs/>
                <w:kern w:val="0"/>
                <w:sz w:val="24"/>
              </w:rPr>
              <w:t>大纲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 w:val="24"/>
              </w:rPr>
              <w:t>（100分）</w:t>
            </w:r>
          </w:p>
        </w:tc>
        <w:tc>
          <w:tcPr>
            <w:tcW w:w="6757" w:type="dxa"/>
            <w:gridSpan w:val="3"/>
            <w:vAlign w:val="center"/>
          </w:tcPr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1.课程</w:t>
            </w:r>
            <w:r>
              <w:rPr>
                <w:rFonts w:ascii="仿宋" w:hAnsi="仿宋" w:eastAsia="仿宋" w:cs="仿宋"/>
                <w:sz w:val="24"/>
                <w:szCs w:val="24"/>
              </w:rPr>
              <w:t>教学目标明确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，是否</w:t>
            </w:r>
            <w:r>
              <w:rPr>
                <w:rFonts w:ascii="仿宋" w:hAnsi="仿宋" w:eastAsia="仿宋" w:cs="仿宋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  <w:r>
              <w:rPr>
                <w:rFonts w:ascii="仿宋" w:hAnsi="仿宋" w:eastAsia="仿宋" w:cs="仿宋"/>
                <w:sz w:val="24"/>
                <w:szCs w:val="24"/>
              </w:rPr>
              <w:t>人才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培养</w:t>
            </w:r>
            <w:r>
              <w:rPr>
                <w:rFonts w:ascii="仿宋" w:hAnsi="仿宋" w:eastAsia="仿宋" w:cs="仿宋"/>
                <w:sz w:val="24"/>
                <w:szCs w:val="24"/>
              </w:rPr>
              <w:t>目标一致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章节</w:t>
            </w:r>
            <w:r>
              <w:rPr>
                <w:rFonts w:ascii="仿宋" w:hAnsi="仿宋" w:eastAsia="仿宋" w:cs="仿宋"/>
                <w:sz w:val="24"/>
                <w:szCs w:val="24"/>
              </w:rPr>
              <w:t>选编内容是否突出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成果导向</w:t>
            </w:r>
            <w:r>
              <w:rPr>
                <w:rFonts w:ascii="仿宋" w:hAnsi="仿宋" w:eastAsia="仿宋" w:cs="仿宋"/>
                <w:sz w:val="24"/>
                <w:szCs w:val="24"/>
              </w:rPr>
              <w:t>人才培养特色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z w:val="24"/>
                <w:szCs w:val="24"/>
              </w:rPr>
              <w:t>内容安排是否科学、重点难点突出、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时数</w:t>
            </w:r>
            <w:r>
              <w:rPr>
                <w:rFonts w:ascii="仿宋" w:hAnsi="仿宋" w:eastAsia="仿宋" w:cs="仿宋"/>
                <w:sz w:val="24"/>
                <w:szCs w:val="24"/>
              </w:rPr>
              <w:t>分配合理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>并反映单元教学目标要求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4.章节安排</w:t>
            </w:r>
            <w:r>
              <w:rPr>
                <w:rFonts w:ascii="仿宋" w:hAnsi="仿宋" w:eastAsia="仿宋" w:cs="仿宋"/>
                <w:sz w:val="24"/>
                <w:szCs w:val="24"/>
              </w:rPr>
              <w:t>顺序是否符合学生的认知水平和能力培养的形成规律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5.大纲</w:t>
            </w:r>
            <w:r>
              <w:rPr>
                <w:rFonts w:ascii="仿宋" w:hAnsi="仿宋" w:eastAsia="仿宋" w:cs="仿宋"/>
                <w:sz w:val="24"/>
                <w:szCs w:val="24"/>
              </w:rPr>
              <w:t>文本的编写是否做到内容完整、格式规范、可操作性强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7" w:type="dxa"/>
            <w:vAlign w:val="center"/>
          </w:tcPr>
          <w:p>
            <w:pPr>
              <w:pStyle w:val="17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教案   设计     （</w:t>
            </w: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0分）</w:t>
            </w:r>
          </w:p>
        </w:tc>
        <w:tc>
          <w:tcPr>
            <w:tcW w:w="6757" w:type="dxa"/>
            <w:gridSpan w:val="3"/>
            <w:vAlign w:val="center"/>
          </w:tcPr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1.教学目标明确,符合教学大纲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2.教学内容充实，思路清晰、逻辑性强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准确把握课程的重点和难点，针对性强，以学生为主体开展教学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教学进程组织合理，方法手段运用恰当有效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17"/>
              <w:ind w:firstLine="0" w:firstLineChars="0"/>
              <w:jc w:val="left"/>
              <w:rPr>
                <w:rFonts w:hint="eastAsia" w:hAnsi="仿宋_GB2312" w:eastAsia="仿宋"/>
                <w:kern w:val="0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文字表达准确、简洁，阐述清楚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7" w:type="dxa"/>
            <w:vAlign w:val="center"/>
          </w:tcPr>
          <w:p>
            <w:pPr>
              <w:pStyle w:val="17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片段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教学（</w:t>
            </w: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0分）</w:t>
            </w:r>
          </w:p>
        </w:tc>
        <w:tc>
          <w:tcPr>
            <w:tcW w:w="6757" w:type="dxa"/>
            <w:gridSpan w:val="3"/>
            <w:vAlign w:val="center"/>
          </w:tcPr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1.理论联系实际，符合学生的特点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教学内容充实，信息量大，渗透专业思想，为教学目标服务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反映或联系学科发展新思想、新概念、新成果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重点突出，条理清楚，内容承前启后，循序渐进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教学过程安排合理，方法运用灵活、恰当，教学设计方案体现完整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启发性强，能有效调动学生思维和学习积极性，融合课程</w:t>
            </w:r>
            <w:r>
              <w:rPr>
                <w:rFonts w:ascii="仿宋" w:hAnsi="仿宋" w:eastAsia="仿宋" w:cs="仿宋"/>
                <w:sz w:val="24"/>
                <w:szCs w:val="24"/>
              </w:rPr>
              <w:t>思政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要素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教学时间安排合理，课堂应变能力强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熟练、有效地运用多媒体等现代教学手段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板书设计与教学内容紧密联系、结构合理，板书与多媒体相配合，简洁、工整、美观、大小适当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教学理念先进、风格突出、感染力强、教学效果好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7" w:type="dxa"/>
            <w:vAlign w:val="center"/>
          </w:tcPr>
          <w:p>
            <w:pPr>
              <w:pStyle w:val="17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</w:t>
            </w:r>
          </w:p>
          <w:p>
            <w:pPr>
              <w:pStyle w:val="17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反思</w:t>
            </w:r>
          </w:p>
          <w:p>
            <w:pPr>
              <w:pStyle w:val="17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(10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分)</w:t>
            </w:r>
          </w:p>
        </w:tc>
        <w:tc>
          <w:tcPr>
            <w:tcW w:w="6757" w:type="dxa"/>
            <w:gridSpan w:val="3"/>
            <w:vAlign w:val="center"/>
          </w:tcPr>
          <w:p>
            <w:pPr>
              <w:pStyle w:val="17"/>
              <w:ind w:firstLine="0" w:firstLineChars="0"/>
              <w:jc w:val="left"/>
              <w:rPr>
                <w:color w:val="000000"/>
                <w:spacing w:val="-16"/>
                <w:kern w:val="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从教学理念、教学方法、教学过程三方面着手，做到联系实际、思路清晰、观点明确、文理通顺，有感而发。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7" w:type="dxa"/>
            <w:vAlign w:val="center"/>
          </w:tcPr>
          <w:p>
            <w:pPr>
              <w:pStyle w:val="17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</w:t>
            </w:r>
          </w:p>
          <w:p>
            <w:pPr>
              <w:pStyle w:val="17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礼仪</w:t>
            </w:r>
          </w:p>
          <w:p>
            <w:pPr>
              <w:pStyle w:val="17"/>
              <w:ind w:firstLine="0" w:firstLine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（100分）</w:t>
            </w:r>
          </w:p>
        </w:tc>
        <w:tc>
          <w:tcPr>
            <w:tcW w:w="6757" w:type="dxa"/>
            <w:gridSpan w:val="3"/>
            <w:vAlign w:val="center"/>
          </w:tcPr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语言清晰、流畅、准确、生动，语速节奏恰当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师生</w:t>
            </w:r>
            <w:bookmarkStart w:id="0" w:name="_GoBack"/>
            <w:bookmarkEnd w:id="0"/>
            <w:r>
              <w:rPr>
                <w:rFonts w:ascii="仿宋" w:hAnsi="仿宋" w:eastAsia="仿宋" w:cs="仿宋"/>
                <w:sz w:val="24"/>
                <w:szCs w:val="24"/>
              </w:rPr>
              <w:t>平等，尊重学生人格，对学生一视同仁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3.肢体语言（眼神</w:t>
            </w:r>
            <w:r>
              <w:rPr>
                <w:rFonts w:ascii="仿宋" w:hAnsi="仿宋" w:eastAsia="仿宋" w:cs="仿宋"/>
                <w:sz w:val="24"/>
                <w:szCs w:val="24"/>
              </w:rPr>
              <w:t>、手势等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）运用合理、恰当，教态自然大方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17"/>
              <w:ind w:firstLine="0" w:firstLineChars="0"/>
              <w:jc w:val="left"/>
              <w:rPr>
                <w:rFonts w:hint="eastAsia" w:eastAsia="仿宋"/>
                <w:color w:val="000000"/>
                <w:spacing w:val="-16"/>
                <w:kern w:val="0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仪容仪表自然得体，精神饱满，</w:t>
            </w:r>
            <w:r>
              <w:rPr>
                <w:rFonts w:ascii="仿宋" w:hAnsi="仿宋" w:eastAsia="仿宋" w:cs="仿宋"/>
                <w:sz w:val="24"/>
                <w:szCs w:val="24"/>
              </w:rPr>
              <w:t>体现教师职业特点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评委签名</w:t>
            </w:r>
          </w:p>
        </w:tc>
        <w:tc>
          <w:tcPr>
            <w:tcW w:w="3738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日期：</w:t>
            </w:r>
          </w:p>
        </w:tc>
      </w:tr>
    </w:tbl>
    <w:p>
      <w:pPr>
        <w:spacing w:line="520" w:lineRule="exact"/>
        <w:jc w:val="left"/>
        <w:rPr>
          <w:rFonts w:ascii="宋体" w:hAnsi="宋体"/>
          <w:sz w:val="30"/>
          <w:szCs w:val="30"/>
        </w:rPr>
      </w:pPr>
    </w:p>
    <w:p>
      <w:pPr>
        <w:spacing w:line="520" w:lineRule="exact"/>
        <w:jc w:val="both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附件2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eastAsia="黑体"/>
          <w:bCs/>
          <w:sz w:val="32"/>
          <w:szCs w:val="32"/>
        </w:rPr>
        <w:t>2019新教师主讲资格认定流程</w:t>
      </w:r>
    </w:p>
    <w:p>
      <w:pPr>
        <w:spacing w:line="520" w:lineRule="exact"/>
        <w:jc w:val="both"/>
        <w:rPr>
          <w:rFonts w:hint="eastAsia" w:ascii="黑体" w:eastAsia="黑体"/>
          <w:bCs/>
          <w:sz w:val="32"/>
          <w:szCs w:val="32"/>
        </w:rPr>
      </w:pPr>
    </w:p>
    <w:tbl>
      <w:tblPr>
        <w:tblStyle w:val="7"/>
        <w:tblW w:w="7512" w:type="dxa"/>
        <w:tblInd w:w="44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55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8:10-8:25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1号陈昱旗授课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8:26-8:41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2号敖鹏授课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8:42-8:47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1号陈昱旗反思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8:48-9:03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3号李汉生授课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9:04-9:09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2号敖鹏反思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9:10-9:25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4号刘冬授课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9:26-9:31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3号李汉生反思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9:32-9:37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评委集体评议，收1-3号评分表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9:38-9:53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5号周建萍授课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9:54-9:59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4号刘冬反思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10:00-10:15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6号周鹏授课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10:16-10:21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5号周建萍反思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10:22-10:37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7号薛荣荣授课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10:38-10:43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6号周鹏反思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10:44-10:59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8号李银授课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11:00-11:05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7号薛荣荣反思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11:06-11:10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收4-7号评分表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11:11-11:16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8号李银反思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11:17-11:32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9号赵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燕</w:t>
            </w:r>
            <w:r>
              <w:rPr>
                <w:rFonts w:hint="eastAsia" w:ascii="仿宋" w:hAnsi="仿宋" w:eastAsia="仿宋" w:cs="仿宋"/>
                <w:sz w:val="24"/>
              </w:rPr>
              <w:t>娜授课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11:33-11:48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10号郑昕彤授课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11:49-11:54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9号赵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燕</w:t>
            </w:r>
            <w:r>
              <w:rPr>
                <w:rFonts w:hint="eastAsia" w:ascii="仿宋" w:hAnsi="仿宋" w:eastAsia="仿宋" w:cs="仿宋"/>
                <w:sz w:val="24"/>
              </w:rPr>
              <w:t>娜反思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11:55-12:00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10号郑昕彤反思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12:00-12:05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收8-10号评分表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13:00-13:15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11号陈风华授课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13:16-13:31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12号黄晓珍授课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13:32-13:37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11号陈风华反思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13:38-13:53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13号郑文辉授课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13:54-13:59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12号石冀忻反思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14:00-14:15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14号苏红授课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14:16-14:21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13号郑文辉反思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14:22-14:37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15号刘振授课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14:38-14:43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14号苏红反思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14:44-14:46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收11-14号评分表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14:47-14:52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15号刘振反思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14:53-15:08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16号闫泳锦授课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15:09-15:24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17号王玮彬授课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15:25-15:30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16号闫泳锦反思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15:31-15:36</w:t>
            </w:r>
          </w:p>
        </w:tc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17号王玮彬反思</w:t>
            </w:r>
          </w:p>
        </w:tc>
      </w:tr>
    </w:tbl>
    <w:p>
      <w:pPr>
        <w:spacing w:line="480" w:lineRule="exact"/>
        <w:rPr>
          <w:rFonts w:ascii="宋体" w:hAnsi="宋体"/>
          <w:sz w:val="30"/>
          <w:szCs w:val="30"/>
        </w:rPr>
      </w:pPr>
    </w:p>
    <w:p>
      <w:pPr>
        <w:spacing w:line="480" w:lineRule="exact"/>
        <w:jc w:val="center"/>
        <w:rPr>
          <w:rFonts w:ascii="宋体" w:hAnsi="宋体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left" w:pos="174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34"/>
    <w:rsid w:val="00005A71"/>
    <w:rsid w:val="00034A48"/>
    <w:rsid w:val="0008101E"/>
    <w:rsid w:val="00091234"/>
    <w:rsid w:val="00094527"/>
    <w:rsid w:val="000B4804"/>
    <w:rsid w:val="000E6D7A"/>
    <w:rsid w:val="00102B2F"/>
    <w:rsid w:val="00130E0D"/>
    <w:rsid w:val="0017684F"/>
    <w:rsid w:val="00183720"/>
    <w:rsid w:val="0018407F"/>
    <w:rsid w:val="001B48DD"/>
    <w:rsid w:val="001E52C4"/>
    <w:rsid w:val="002066D4"/>
    <w:rsid w:val="00207C04"/>
    <w:rsid w:val="00211ABF"/>
    <w:rsid w:val="002C57B3"/>
    <w:rsid w:val="002F1924"/>
    <w:rsid w:val="002F2091"/>
    <w:rsid w:val="003001A7"/>
    <w:rsid w:val="003139BA"/>
    <w:rsid w:val="00386C42"/>
    <w:rsid w:val="00392F85"/>
    <w:rsid w:val="003C4CA7"/>
    <w:rsid w:val="003F3C42"/>
    <w:rsid w:val="0041195E"/>
    <w:rsid w:val="00447BEF"/>
    <w:rsid w:val="00466FE2"/>
    <w:rsid w:val="004F773A"/>
    <w:rsid w:val="0051088C"/>
    <w:rsid w:val="005242C7"/>
    <w:rsid w:val="00541773"/>
    <w:rsid w:val="00544F16"/>
    <w:rsid w:val="00552B28"/>
    <w:rsid w:val="00554E4E"/>
    <w:rsid w:val="00557541"/>
    <w:rsid w:val="005633A3"/>
    <w:rsid w:val="00584688"/>
    <w:rsid w:val="00590861"/>
    <w:rsid w:val="005C2D22"/>
    <w:rsid w:val="00643C56"/>
    <w:rsid w:val="0067213C"/>
    <w:rsid w:val="006C204C"/>
    <w:rsid w:val="006C4880"/>
    <w:rsid w:val="006E615A"/>
    <w:rsid w:val="007070C3"/>
    <w:rsid w:val="00730500"/>
    <w:rsid w:val="007346AC"/>
    <w:rsid w:val="00752CCF"/>
    <w:rsid w:val="00755219"/>
    <w:rsid w:val="00787350"/>
    <w:rsid w:val="007B24D8"/>
    <w:rsid w:val="007D7FE2"/>
    <w:rsid w:val="00810BF1"/>
    <w:rsid w:val="008344F6"/>
    <w:rsid w:val="008369C4"/>
    <w:rsid w:val="00841EC6"/>
    <w:rsid w:val="00853FF9"/>
    <w:rsid w:val="00870BEB"/>
    <w:rsid w:val="008A6539"/>
    <w:rsid w:val="008C0D57"/>
    <w:rsid w:val="008C29A8"/>
    <w:rsid w:val="008C64E3"/>
    <w:rsid w:val="008E1EE9"/>
    <w:rsid w:val="00961649"/>
    <w:rsid w:val="00963F96"/>
    <w:rsid w:val="009F2B8D"/>
    <w:rsid w:val="00A75856"/>
    <w:rsid w:val="00AF0FB6"/>
    <w:rsid w:val="00B154ED"/>
    <w:rsid w:val="00B30359"/>
    <w:rsid w:val="00B77C8F"/>
    <w:rsid w:val="00BF63C3"/>
    <w:rsid w:val="00C93A63"/>
    <w:rsid w:val="00CD2D23"/>
    <w:rsid w:val="00CE4287"/>
    <w:rsid w:val="00CF7C9F"/>
    <w:rsid w:val="00D14E0C"/>
    <w:rsid w:val="00D534BF"/>
    <w:rsid w:val="00D63E7D"/>
    <w:rsid w:val="00D7439D"/>
    <w:rsid w:val="00D977AE"/>
    <w:rsid w:val="00DB6677"/>
    <w:rsid w:val="00DF7EF1"/>
    <w:rsid w:val="00E001F2"/>
    <w:rsid w:val="00E25555"/>
    <w:rsid w:val="00E34C15"/>
    <w:rsid w:val="00E56FE1"/>
    <w:rsid w:val="00EB2E4B"/>
    <w:rsid w:val="00F06194"/>
    <w:rsid w:val="00F11190"/>
    <w:rsid w:val="00F20E41"/>
    <w:rsid w:val="00F47C72"/>
    <w:rsid w:val="00F9419A"/>
    <w:rsid w:val="00FD3B06"/>
    <w:rsid w:val="00FD56B8"/>
    <w:rsid w:val="00FE503B"/>
    <w:rsid w:val="03954176"/>
    <w:rsid w:val="0A9622E9"/>
    <w:rsid w:val="0C66269B"/>
    <w:rsid w:val="12604BF6"/>
    <w:rsid w:val="1931021E"/>
    <w:rsid w:val="19C343C0"/>
    <w:rsid w:val="1EF15F3D"/>
    <w:rsid w:val="214F6E6A"/>
    <w:rsid w:val="219D38CB"/>
    <w:rsid w:val="23DF3990"/>
    <w:rsid w:val="23E45F60"/>
    <w:rsid w:val="242B6A73"/>
    <w:rsid w:val="26036E5B"/>
    <w:rsid w:val="284365E4"/>
    <w:rsid w:val="289B595F"/>
    <w:rsid w:val="2B3E23B4"/>
    <w:rsid w:val="2D5D07CA"/>
    <w:rsid w:val="33D64737"/>
    <w:rsid w:val="34407B64"/>
    <w:rsid w:val="345F714D"/>
    <w:rsid w:val="350E58D0"/>
    <w:rsid w:val="3C12377B"/>
    <w:rsid w:val="3C866E8D"/>
    <w:rsid w:val="40E27428"/>
    <w:rsid w:val="4241331A"/>
    <w:rsid w:val="455A6D19"/>
    <w:rsid w:val="46EA1EFE"/>
    <w:rsid w:val="47796D7A"/>
    <w:rsid w:val="494440B8"/>
    <w:rsid w:val="4A005232"/>
    <w:rsid w:val="4C44067F"/>
    <w:rsid w:val="66053F34"/>
    <w:rsid w:val="6733583C"/>
    <w:rsid w:val="685F2B6B"/>
    <w:rsid w:val="6897408C"/>
    <w:rsid w:val="68D7296A"/>
    <w:rsid w:val="6B2C75D3"/>
    <w:rsid w:val="6C0E1A88"/>
    <w:rsid w:val="788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3">
    <w:name w:val="无间隔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纯文本 Char"/>
    <w:basedOn w:val="9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7">
    <w:name w:val="新正文"/>
    <w:basedOn w:val="2"/>
    <w:qFormat/>
    <w:uiPriority w:val="0"/>
    <w:pPr>
      <w:ind w:firstLine="200" w:firstLineChars="200"/>
    </w:pPr>
    <w:rPr>
      <w:rFonts w:ascii="仿宋_GB2312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408</Words>
  <Characters>2328</Characters>
  <Lines>19</Lines>
  <Paragraphs>5</Paragraphs>
  <TotalTime>6</TotalTime>
  <ScaleCrop>false</ScaleCrop>
  <LinksUpToDate>false</LinksUpToDate>
  <CharactersWithSpaces>2731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2018-12-18T13:12:00Z</dcterms:created>
  <dc:creator>admin</dc:creator>
  <cp:lastModifiedBy>李霞</cp:lastModifiedBy>
  <cp:lastPrinted>2019-12-19T05:02:00Z</cp:lastPrinted>
  <dcterms:modified xsi:type="dcterms:W3CDTF">2019-12-19T10:01:24Z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