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方正小标宋简体" w:cs="方正小标宋简体"/>
          <w:bCs/>
          <w:sz w:val="44"/>
          <w:szCs w:val="44"/>
        </w:rPr>
      </w:pPr>
      <w:bookmarkStart w:id="0" w:name="_Toc24029097"/>
      <w:bookmarkStart w:id="1" w:name="_Toc4259"/>
    </w:p>
    <w:p>
      <w:pPr>
        <w:spacing w:line="540" w:lineRule="exact"/>
        <w:jc w:val="center"/>
        <w:rPr>
          <w:rFonts w:hint="eastAsia" w:ascii="宋体" w:hAnsi="宋体" w:eastAsia="方正小标宋简体" w:cs="方正小标宋简体"/>
          <w:bCs/>
          <w:sz w:val="44"/>
          <w:szCs w:val="44"/>
        </w:rPr>
      </w:pPr>
    </w:p>
    <w:p>
      <w:pPr>
        <w:spacing w:line="540" w:lineRule="exact"/>
        <w:jc w:val="center"/>
        <w:rPr>
          <w:rFonts w:hint="eastAsia" w:ascii="宋体" w:hAnsi="宋体" w:eastAsia="方正小标宋简体" w:cs="方正小标宋简体"/>
          <w:bCs/>
          <w:sz w:val="44"/>
          <w:szCs w:val="44"/>
        </w:rPr>
      </w:pPr>
    </w:p>
    <w:p>
      <w:pPr>
        <w:spacing w:line="540" w:lineRule="exact"/>
        <w:jc w:val="center"/>
        <w:rPr>
          <w:rFonts w:hint="eastAsia" w:ascii="宋体" w:hAnsi="宋体" w:eastAsia="方正小标宋简体" w:cs="方正小标宋简体"/>
          <w:bCs/>
          <w:sz w:val="44"/>
          <w:szCs w:val="44"/>
        </w:rPr>
      </w:pPr>
    </w:p>
    <w:p>
      <w:pPr>
        <w:jc w:val="distribute"/>
        <w:rPr>
          <w:rFonts w:hint="eastAsia" w:ascii="宋体" w:hAnsi="宋体" w:eastAsia="方正小标宋简体" w:cs="方正小标宋简体"/>
          <w:bCs/>
          <w:sz w:val="44"/>
          <w:szCs w:val="44"/>
        </w:rPr>
      </w:pPr>
      <w:r>
        <w:rPr>
          <w:rFonts w:hint="eastAsia" w:ascii="宋体" w:hAnsi="宋体" w:eastAsia="方正小标宋简体" w:cs="Times New Roman"/>
          <w:bCs/>
          <w:color w:val="FF0000"/>
          <w:spacing w:val="-85"/>
          <w:w w:val="70"/>
          <w:kern w:val="10"/>
          <w:sz w:val="120"/>
          <w:szCs w:val="120"/>
        </w:rPr>
        <w:t>三明学院党政办公室</w:t>
      </w:r>
      <w:r>
        <w:rPr>
          <w:rFonts w:ascii="宋体" w:hAnsi="宋体" w:eastAsia="方正小标宋简体" w:cs="Times New Roman"/>
          <w:bCs/>
          <w:color w:val="FF0000"/>
          <w:spacing w:val="-85"/>
          <w:w w:val="70"/>
          <w:kern w:val="10"/>
          <w:sz w:val="120"/>
          <w:szCs w:val="120"/>
        </w:rPr>
        <w:t>文件</w:t>
      </w:r>
    </w:p>
    <w:p>
      <w:pPr>
        <w:spacing w:line="540" w:lineRule="exact"/>
        <w:jc w:val="center"/>
        <w:rPr>
          <w:rFonts w:hint="eastAsia" w:ascii="宋体" w:hAnsi="宋体" w:eastAsia="仿宋_GB2312" w:cs="仿宋_GB2312"/>
          <w:sz w:val="32"/>
          <w:szCs w:val="32"/>
        </w:rPr>
      </w:pPr>
    </w:p>
    <w:p>
      <w:pPr>
        <w:spacing w:line="540" w:lineRule="exact"/>
        <w:jc w:val="center"/>
        <w:rPr>
          <w:rFonts w:hint="eastAsia" w:ascii="宋体" w:hAnsi="宋体" w:eastAsia="方正小标宋简体" w:cs="方正小标宋简体"/>
          <w:bCs/>
          <w:sz w:val="44"/>
          <w:szCs w:val="44"/>
        </w:rPr>
      </w:pPr>
      <w:r>
        <w:rPr>
          <w:rFonts w:hint="eastAsia" w:ascii="宋体" w:hAnsi="宋体" w:eastAsia="仿宋_GB2312" w:cs="仿宋_GB2312"/>
          <w:sz w:val="32"/>
          <w:szCs w:val="32"/>
        </w:rPr>
        <w:t>明院办发〔20</w:t>
      </w:r>
      <w:r>
        <w:rPr>
          <w:rFonts w:ascii="宋体" w:hAnsi="宋体" w:eastAsia="仿宋_GB2312" w:cs="仿宋_GB2312"/>
          <w:sz w:val="32"/>
          <w:szCs w:val="32"/>
        </w:rPr>
        <w:t>20</w:t>
      </w:r>
      <w:r>
        <w:rPr>
          <w:rFonts w:hint="eastAsia" w:ascii="宋体" w:hAnsi="宋体" w:eastAsia="仿宋_GB2312" w:cs="仿宋_GB2312"/>
          <w:sz w:val="32"/>
          <w:szCs w:val="32"/>
        </w:rPr>
        <w:t>〕</w:t>
      </w:r>
      <w:r>
        <w:rPr>
          <w:rFonts w:ascii="宋体" w:hAnsi="宋体" w:eastAsia="仿宋_GB2312" w:cs="仿宋_GB2312"/>
          <w:sz w:val="32"/>
          <w:szCs w:val="32"/>
        </w:rPr>
        <w:t>17</w:t>
      </w:r>
      <w:r>
        <w:rPr>
          <w:rFonts w:hint="eastAsia" w:ascii="宋体" w:hAnsi="宋体" w:eastAsia="仿宋_GB2312" w:cs="仿宋_GB2312"/>
          <w:sz w:val="32"/>
          <w:szCs w:val="32"/>
        </w:rPr>
        <w:t>号</w:t>
      </w:r>
    </w:p>
    <w:p>
      <w:pPr>
        <w:spacing w:line="540" w:lineRule="exact"/>
        <w:rPr>
          <w:rFonts w:hint="eastAsia" w:ascii="宋体" w:hAnsi="宋体" w:eastAsia="方正小标宋简体" w:cs="方正小标宋简体"/>
          <w:bCs/>
          <w:sz w:val="44"/>
          <w:szCs w:val="44"/>
        </w:rPr>
      </w:pPr>
      <w:r>
        <w:rPr>
          <w:b/>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118745</wp:posOffset>
                </wp:positionV>
                <wp:extent cx="56483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4832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6.9pt;margin-top:9.35pt;height:0pt;width:444.75pt;z-index:251659264;mso-width-relative:page;mso-height-relative:page;" filled="f" stroked="t" coordsize="21600,21600" o:gfxdata="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gVMYNUAAAAJAQAADwAAAAAAAAABACAA&#10;AAAiAAAAZHJzL2Rvd25yZXYueG1sUEsBAhQAFAAAAAgAh07iQKm6dAjXAQAAdQMAAA4AAAAAAAAA&#10;AQAgAAAAJAEAAGRycy9lMm9Eb2MueG1sUEsFBgAAAAAGAAYAWQEAAG0FAAAAAA==&#10;">
                <v:fill on="f" focussize="0,0"/>
                <v:stroke weight="2pt" color="#FF0000" joinstyle="round"/>
                <v:imagedata o:title=""/>
                <o:lock v:ext="edit" aspectratio="f"/>
              </v:line>
            </w:pict>
          </mc:Fallback>
        </mc:AlternateContent>
      </w:r>
    </w:p>
    <w:p>
      <w:pPr>
        <w:spacing w:after="156" w:afterLines="50" w:line="540" w:lineRule="exact"/>
        <w:jc w:val="center"/>
        <w:rPr>
          <w:rFonts w:hint="eastAsia" w:ascii="宋体" w:hAnsi="宋体"/>
          <w:b/>
          <w:sz w:val="32"/>
          <w:szCs w:val="32"/>
        </w:rPr>
      </w:pPr>
      <w:r>
        <w:rPr>
          <w:rFonts w:ascii="宋体" w:hAnsi="宋体"/>
          <w:spacing w:val="-10"/>
          <w:sz w:val="32"/>
          <w:szCs w:val="32"/>
        </w:rPr>
        <w:t xml:space="preserve"> </w:t>
      </w:r>
      <w:r>
        <w:rPr>
          <w:rFonts w:hint="eastAsia" w:ascii="宋体" w:hAnsi="宋体"/>
          <w:spacing w:val="-10"/>
          <w:sz w:val="32"/>
          <w:szCs w:val="32"/>
        </w:rPr>
        <w:t xml:space="preserve"> </w:t>
      </w:r>
    </w:p>
    <w:p>
      <w:pPr>
        <w:widowControl/>
        <w:spacing w:line="54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关于印发《三明学院学生社团建设</w:t>
      </w:r>
    </w:p>
    <w:p>
      <w:pPr>
        <w:widowControl/>
        <w:spacing w:line="54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管理办法》的通知</w:t>
      </w:r>
    </w:p>
    <w:p>
      <w:pPr>
        <w:widowControl/>
        <w:spacing w:line="540" w:lineRule="exact"/>
        <w:rPr>
          <w:rFonts w:ascii="宋体" w:hAnsi="宋体" w:eastAsia="仿宋_GB2312" w:cs="方正小标宋简体"/>
          <w:sz w:val="32"/>
          <w:szCs w:val="32"/>
        </w:rPr>
      </w:pPr>
    </w:p>
    <w:p>
      <w:pPr>
        <w:spacing w:line="540" w:lineRule="exact"/>
        <w:jc w:val="left"/>
        <w:rPr>
          <w:rFonts w:ascii="宋体" w:hAnsi="宋体" w:eastAsia="仿宋_GB2312" w:cs="仿宋_GB2312"/>
          <w:bCs/>
          <w:sz w:val="32"/>
          <w:szCs w:val="32"/>
        </w:rPr>
      </w:pPr>
      <w:r>
        <w:rPr>
          <w:rFonts w:hint="eastAsia" w:ascii="宋体" w:hAnsi="宋体" w:eastAsia="仿宋_GB2312" w:cs="仿宋_GB2312"/>
          <w:bCs/>
          <w:sz w:val="32"/>
          <w:szCs w:val="32"/>
        </w:rPr>
        <w:t>各部门、各单位：</w:t>
      </w:r>
    </w:p>
    <w:p>
      <w:pPr>
        <w:pStyle w:val="28"/>
        <w:spacing w:line="540" w:lineRule="exact"/>
        <w:ind w:firstLine="640"/>
        <w:rPr>
          <w:rFonts w:ascii="宋体" w:hAnsi="宋体" w:cs="仿宋_GB2312"/>
          <w:bCs/>
          <w:szCs w:val="32"/>
        </w:rPr>
      </w:pPr>
      <w:r>
        <w:rPr>
          <w:rFonts w:hint="eastAsia" w:ascii="宋体" w:hAnsi="宋体" w:cs="仿宋_GB2312"/>
          <w:szCs w:val="32"/>
        </w:rPr>
        <w:t>《三明学院学生社团建设管理办法》已经校党委会研究通过，现印发给你们，请认真贯彻执行。</w:t>
      </w:r>
    </w:p>
    <w:p>
      <w:pPr>
        <w:spacing w:line="540" w:lineRule="exact"/>
        <w:jc w:val="center"/>
        <w:rPr>
          <w:rFonts w:ascii="宋体" w:hAnsi="宋体" w:eastAsia="仿宋_GB2312" w:cs="仿宋_GB2312"/>
          <w:bCs/>
          <w:sz w:val="32"/>
          <w:szCs w:val="32"/>
        </w:rPr>
      </w:pPr>
    </w:p>
    <w:p>
      <w:pPr>
        <w:spacing w:line="540" w:lineRule="exact"/>
        <w:jc w:val="center"/>
        <w:rPr>
          <w:rFonts w:ascii="宋体" w:hAnsi="宋体" w:eastAsia="仿宋_GB2312" w:cs="仿宋_GB2312"/>
          <w:bCs/>
          <w:sz w:val="32"/>
          <w:szCs w:val="32"/>
        </w:rPr>
      </w:pPr>
    </w:p>
    <w:p>
      <w:pPr>
        <w:spacing w:line="540" w:lineRule="exact"/>
        <w:ind w:firstLine="4480" w:firstLineChars="1400"/>
        <w:rPr>
          <w:rFonts w:ascii="宋体" w:hAnsi="宋体" w:eastAsia="仿宋_GB2312" w:cs="仿宋_GB2312"/>
          <w:sz w:val="32"/>
          <w:szCs w:val="32"/>
          <w:shd w:val="clear" w:color="auto" w:fill="FFFFFF"/>
        </w:rPr>
      </w:pPr>
      <w:r>
        <w:rPr>
          <w:rFonts w:hint="eastAsia" w:ascii="宋体" w:hAnsi="宋体" w:eastAsia="仿宋_GB2312" w:cs="仿宋_GB2312"/>
          <w:sz w:val="32"/>
          <w:szCs w:val="32"/>
          <w:shd w:val="clear" w:color="auto" w:fill="FFFFFF"/>
        </w:rPr>
        <w:t>三明学院党政办公室</w:t>
      </w:r>
    </w:p>
    <w:p>
      <w:pPr>
        <w:pStyle w:val="28"/>
        <w:ind w:right="1680" w:rightChars="800" w:firstLine="0" w:firstLineChars="0"/>
        <w:jc w:val="right"/>
        <w:rPr>
          <w:rFonts w:hint="eastAsia" w:ascii="宋体" w:hAnsi="宋体" w:cs="仿宋_GB2312"/>
          <w:szCs w:val="32"/>
          <w:shd w:val="clear" w:color="auto" w:fill="FFFFFF"/>
        </w:rPr>
      </w:pPr>
      <w:r>
        <w:rPr>
          <w:rFonts w:hint="eastAsia" w:ascii="宋体" w:hAnsi="宋体" w:cs="仿宋_GB2312"/>
          <w:szCs w:val="32"/>
          <w:shd w:val="clear" w:color="auto" w:fill="FFFFFF"/>
        </w:rPr>
        <w:t>20</w:t>
      </w:r>
      <w:r>
        <w:rPr>
          <w:rFonts w:ascii="宋体" w:hAnsi="宋体" w:cs="仿宋_GB2312"/>
          <w:szCs w:val="32"/>
          <w:shd w:val="clear" w:color="auto" w:fill="FFFFFF"/>
        </w:rPr>
        <w:t>20</w:t>
      </w:r>
      <w:r>
        <w:rPr>
          <w:rFonts w:hint="eastAsia" w:ascii="宋体" w:hAnsi="宋体" w:cs="仿宋_GB2312"/>
          <w:szCs w:val="32"/>
          <w:shd w:val="clear" w:color="auto" w:fill="FFFFFF"/>
        </w:rPr>
        <w:t>年</w:t>
      </w:r>
      <w:r>
        <w:rPr>
          <w:rFonts w:ascii="宋体" w:hAnsi="宋体" w:cs="仿宋_GB2312"/>
          <w:szCs w:val="32"/>
          <w:shd w:val="clear" w:color="auto" w:fill="FFFFFF"/>
        </w:rPr>
        <w:t>5</w:t>
      </w:r>
      <w:r>
        <w:rPr>
          <w:rFonts w:hint="eastAsia" w:ascii="宋体" w:hAnsi="宋体" w:cs="仿宋_GB2312"/>
          <w:szCs w:val="32"/>
          <w:shd w:val="clear" w:color="auto" w:fill="FFFFFF"/>
        </w:rPr>
        <w:t>月</w:t>
      </w:r>
      <w:r>
        <w:rPr>
          <w:rFonts w:ascii="宋体" w:hAnsi="宋体" w:cs="仿宋_GB2312"/>
          <w:szCs w:val="32"/>
          <w:shd w:val="clear" w:color="auto" w:fill="FFFFFF"/>
        </w:rPr>
        <w:t>9</w:t>
      </w:r>
      <w:r>
        <w:rPr>
          <w:rFonts w:hint="eastAsia" w:ascii="宋体" w:hAnsi="宋体" w:cs="仿宋_GB2312"/>
          <w:szCs w:val="32"/>
          <w:shd w:val="clear" w:color="auto" w:fill="FFFFFF"/>
        </w:rPr>
        <w:t xml:space="preserve">日 </w:t>
      </w:r>
    </w:p>
    <w:p>
      <w:pPr>
        <w:pStyle w:val="28"/>
        <w:ind w:right="1680" w:rightChars="800" w:firstLine="0" w:firstLineChars="0"/>
        <w:jc w:val="right"/>
        <w:rPr>
          <w:rFonts w:hint="eastAsia" w:ascii="宋体" w:hAnsi="宋体" w:cs="仿宋_GB2312"/>
          <w:szCs w:val="32"/>
          <w:shd w:val="clear" w:color="auto" w:fill="FFFFFF"/>
        </w:rPr>
      </w:pPr>
    </w:p>
    <w:p>
      <w:pPr>
        <w:pStyle w:val="28"/>
        <w:spacing w:line="540" w:lineRule="exact"/>
        <w:ind w:firstLine="0" w:firstLineChars="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三明学院学生社团建设管理办法</w:t>
      </w:r>
    </w:p>
    <w:p>
      <w:pPr>
        <w:pStyle w:val="28"/>
        <w:spacing w:line="540" w:lineRule="exact"/>
        <w:ind w:firstLine="0" w:firstLineChars="0"/>
        <w:jc w:val="center"/>
        <w:rPr>
          <w:rFonts w:ascii="宋体" w:hAnsi="宋体" w:cs="仿宋_GB2312"/>
          <w:szCs w:val="32"/>
        </w:rPr>
      </w:pPr>
    </w:p>
    <w:bookmarkEnd w:id="0"/>
    <w:bookmarkEnd w:id="1"/>
    <w:p>
      <w:pPr>
        <w:widowControl/>
        <w:spacing w:line="540" w:lineRule="exact"/>
        <w:jc w:val="center"/>
        <w:rPr>
          <w:rFonts w:ascii="宋体" w:hAnsi="宋体" w:eastAsia="黑体" w:cs="黑体"/>
          <w:bCs/>
          <w:kern w:val="0"/>
          <w:sz w:val="32"/>
          <w:szCs w:val="32"/>
          <w:lang w:bidi="ar"/>
        </w:rPr>
      </w:pPr>
      <w:r>
        <w:rPr>
          <w:rFonts w:hint="eastAsia" w:ascii="宋体" w:hAnsi="宋体" w:eastAsia="黑体" w:cs="黑体"/>
          <w:bCs/>
          <w:kern w:val="0"/>
          <w:sz w:val="32"/>
          <w:szCs w:val="32"/>
          <w:lang w:bidi="ar"/>
        </w:rPr>
        <w:t>第一章 总 则</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第一条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为进一步规范学生社团建设管理，充分发挥学生社团的育人功能，积极促进学生社团的健康发展，根据《社会团体登记管理条例》（国务院令第666号）、《高校学生社团建设管理办法》(教党〔2020〕13号）等文件精神，结合工作实际，特制定本办法。</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第二条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学生社团是我校落实立德树人根本任务、推进素质教育的重要载体，是指由在校学生依据兴趣爱好自愿组成，为实现成员共同意愿，在学校登记注册并按照其章程自主开展活动的非营利性、群众性学生团体。学生社团一般分为思想政治类、学术科技类、创新创业类、文化体育类、志愿公益类、自律互助类及其他类等。新成立学生社团应归属以上类别。</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第三条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学生社团基本任务：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pPr>
        <w:spacing w:line="540" w:lineRule="exact"/>
        <w:ind w:firstLine="640" w:firstLineChars="200"/>
        <w:rPr>
          <w:rFonts w:ascii="宋体" w:hAnsi="宋体" w:eastAsia="仿宋_GB2312" w:cs="Times New Roman"/>
          <w:sz w:val="32"/>
          <w:szCs w:val="32"/>
        </w:rPr>
      </w:pPr>
    </w:p>
    <w:p>
      <w:pPr>
        <w:widowControl/>
        <w:spacing w:line="540" w:lineRule="exact"/>
        <w:jc w:val="center"/>
        <w:rPr>
          <w:rFonts w:ascii="宋体" w:hAnsi="宋体" w:eastAsia="黑体" w:cs="黑体"/>
          <w:bCs/>
          <w:sz w:val="32"/>
          <w:szCs w:val="32"/>
        </w:rPr>
      </w:pPr>
      <w:r>
        <w:rPr>
          <w:rFonts w:hint="eastAsia" w:ascii="宋体" w:hAnsi="宋体" w:eastAsia="黑体" w:cs="黑体"/>
          <w:bCs/>
          <w:kern w:val="0"/>
          <w:sz w:val="32"/>
          <w:szCs w:val="32"/>
          <w:lang w:bidi="ar"/>
        </w:rPr>
        <w:t>第二章 注册登记</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第四条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申请成立学生社团，须具备以下条件：</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（一）有20名以上本校在读学生联合发起，所有发起人均须具有正式学籍，未受过校纪校规处分，具有开展该社团活动所必备的基本素质；</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（二）有规范的名称和相应的组织机构，名称应与其业务性质相符，准确反映其特征，应符合法律法规及学校的相关规定，不得违背校园文明风尚和社会公共道德；</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（三）有明确的业务指导单位，原则上业务指导单位应是与社团业务相关的校内机关职能部门、教辅单位、二级学院党委或校内学术科研机构；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（四）原则上有至少2名指导教师，其中，至少1名专业指导教师，至少1名日常事务指导教师；</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（五）有规范的社团章程，包括学生社团的名称、宗旨、成员资格、权利和义务、组织管理制度、财务制度、负责人产生程序、章程修改程序、社团终止及其他应由章程规定的相关事项。</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第五条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申请成立学生社团材料包括社团成立筹备申请书、发起人和拟任负责人基本情况（包括思想表现、学习成绩等）、指导教师确认书、业务指导单位确认书以及社团章程草案等。</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第六条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学生社团实行年审制度。年审内容包括社团成员构成、社团负责人工作及学习情况、年度活动清单、指导教师工作情况、业务指导单位意见、财务状况、有无违纪违规情况等。年审合格的学生社团可进行注册登记，只有进行注册登记的学生社团方可继续开展活动。对运行情况良好的社团，可在评奖评优、活动经费等方面给予适当的表彰激励。对年审不合格的学生社团提出整改意见，整改期限一般3至6个月，整改期间社团不得开展除整改以外的其他活动。</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第七条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学生社团有以下情形之一的，不予批准成立或不予继续注册登记：</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（一）申请成立时弄虚作假的；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（二）参加学生社团的人数长期不足20人的；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（三）年审不合格且整改无效的；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（四）全体成员大会决议解散的；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（五）学校已有性质相同或相似学生社团的；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（六）涉及宗教文化的；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（七）涉及民族排他性或地区排他性的；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（八）跨地跨校联合成立的；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（九）未经学校审核批准的校外机构会员单位或分支机构性质的学生组织；</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（十）举办违反法律法规、校纪校规或社团章程宗旨活动的；</w:t>
      </w:r>
    </w:p>
    <w:p>
      <w:pPr>
        <w:spacing w:line="540" w:lineRule="exact"/>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（十一）其它不宜批准成立或不宜继续注册登记的。</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第八条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企业、社会机构或个人原则上不得在学校建立特定冠名的学生俱乐部、协会等社团。对于与企业、社会机构或个人联系紧密的创新创业类社团，确有冠名需要的，须报学校党委批准。原则上学生社团不应涉及外事事务，确有需要的，须报学校党委批准。</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第九条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未经批准成立或已经注销的学生社团不得开展任何活动。已批准成立的学生社团中的成员，未经学生社团集体研究授权，不得以社团名义开展活动。留学生成立学生社团由校国际交流合作处统筹负责。</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在学校党委的领导下，由党委学生工作部牵头组织各相关部门负责人及学生社团业务相关领域专家成立学生社团建设管理评议委员会，负责对学生社团注册登记及年审进行评议审核。评议委员会负责人由学校党委分管学生工作的同志担任。评议审核结果须提交学校党委核准后方可执行。原则上在把控质量的前提下，</w:t>
      </w:r>
      <w:r>
        <w:rPr>
          <w:rFonts w:ascii="宋体" w:hAnsi="宋体" w:eastAsia="仿宋_GB2312" w:cs="Times New Roman"/>
          <w:sz w:val="32"/>
          <w:szCs w:val="32"/>
        </w:rPr>
        <w:t>促进</w:t>
      </w:r>
      <w:r>
        <w:rPr>
          <w:rFonts w:hint="eastAsia" w:ascii="宋体" w:hAnsi="宋体" w:eastAsia="仿宋_GB2312" w:cs="Times New Roman"/>
          <w:sz w:val="32"/>
          <w:szCs w:val="32"/>
        </w:rPr>
        <w:t>学生社团精品建设、</w:t>
      </w:r>
      <w:r>
        <w:rPr>
          <w:rFonts w:ascii="宋体" w:hAnsi="宋体" w:eastAsia="仿宋_GB2312" w:cs="Times New Roman"/>
          <w:sz w:val="32"/>
          <w:szCs w:val="32"/>
        </w:rPr>
        <w:t>健康</w:t>
      </w:r>
      <w:r>
        <w:rPr>
          <w:rFonts w:hint="eastAsia" w:ascii="宋体" w:hAnsi="宋体" w:eastAsia="仿宋_GB2312" w:cs="Times New Roman"/>
          <w:sz w:val="32"/>
          <w:szCs w:val="32"/>
        </w:rPr>
        <w:t>发展。</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第十一条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由党委学生工作部牵头，定期组织开展学生社团排查工作。对于未按规定注册或政治导向错误、开展非法活动的学生社团依法依规予以取缔。对于校外人员未经学校许可，滥用、冒用学校名称（包括学校已申请注册具有法律效力的简称、别称）建立学生社团（含其运营的新媒体平台）在校内外开展非法活动的，除对其校内非法活动及活动据点予以取缔外，将运用法律手段依法追究该非法社团及相关负责人的法律责任，维护学校和学生权益。</w:t>
      </w:r>
    </w:p>
    <w:p>
      <w:pPr>
        <w:spacing w:line="540" w:lineRule="exact"/>
        <w:ind w:firstLine="640" w:firstLineChars="200"/>
        <w:rPr>
          <w:rFonts w:ascii="宋体" w:hAnsi="宋体" w:eastAsia="仿宋_GB2312" w:cs="Times New Roman"/>
          <w:sz w:val="32"/>
          <w:szCs w:val="32"/>
        </w:rPr>
      </w:pPr>
    </w:p>
    <w:p>
      <w:pPr>
        <w:widowControl/>
        <w:spacing w:line="540" w:lineRule="exact"/>
        <w:jc w:val="center"/>
        <w:rPr>
          <w:rFonts w:ascii="宋体" w:hAnsi="宋体" w:eastAsia="黑体" w:cs="黑体"/>
          <w:bCs/>
          <w:sz w:val="32"/>
          <w:szCs w:val="32"/>
        </w:rPr>
      </w:pPr>
      <w:r>
        <w:rPr>
          <w:rFonts w:hint="eastAsia" w:ascii="宋体" w:hAnsi="宋体" w:eastAsia="黑体" w:cs="黑体"/>
          <w:bCs/>
          <w:kern w:val="0"/>
          <w:sz w:val="32"/>
          <w:szCs w:val="32"/>
          <w:lang w:bidi="ar"/>
        </w:rPr>
        <w:t>第三章 指导教师</w:t>
      </w:r>
    </w:p>
    <w:p>
      <w:pPr>
        <w:spacing w:line="540" w:lineRule="exact"/>
        <w:ind w:firstLine="640" w:firstLineChars="200"/>
        <w:rPr>
          <w:rFonts w:ascii="宋体" w:hAnsi="宋体" w:eastAsia="仿宋_GB2312" w:cs="Times New Roman"/>
          <w:bCs/>
          <w:color w:val="000000" w:themeColor="text1"/>
          <w:sz w:val="32"/>
          <w:szCs w:val="32"/>
          <w14:textFill>
            <w14:solidFill>
              <w14:schemeClr w14:val="tx1"/>
            </w14:solidFill>
          </w14:textFill>
        </w:rPr>
      </w:pPr>
      <w:r>
        <w:rPr>
          <w:rFonts w:hint="eastAsia" w:ascii="楷体" w:hAnsi="楷体" w:eastAsia="楷体" w:cs="Times New Roman"/>
          <w:bCs/>
          <w:sz w:val="32"/>
          <w:szCs w:val="32"/>
        </w:rPr>
        <w:t>第十二条</w:t>
      </w:r>
      <w:r>
        <w:rPr>
          <w:rFonts w:hint="eastAsia" w:ascii="宋体" w:hAnsi="宋体" w:eastAsia="仿宋_GB2312" w:cs="Times New Roman"/>
          <w:b/>
          <w:bCs/>
          <w:color w:val="000000" w:themeColor="text1"/>
          <w:sz w:val="32"/>
          <w:szCs w:val="32"/>
          <w14:textFill>
            <w14:solidFill>
              <w14:schemeClr w14:val="tx1"/>
            </w14:solidFill>
          </w14:textFill>
        </w:rPr>
        <w:t xml:space="preserve"> </w:t>
      </w:r>
      <w:r>
        <w:rPr>
          <w:rFonts w:hint="eastAsia" w:ascii="宋体" w:hAnsi="宋体" w:eastAsia="仿宋_GB2312" w:cs="Times New Roman"/>
          <w:bCs/>
          <w:color w:val="000000" w:themeColor="text1"/>
          <w:sz w:val="32"/>
          <w:szCs w:val="32"/>
          <w14:textFill>
            <w14:solidFill>
              <w14:schemeClr w14:val="tx1"/>
            </w14:solidFill>
          </w14:textFill>
        </w:rPr>
        <w:t>学生社团指导教师的主要职责是：</w:t>
      </w:r>
      <w:r>
        <w:rPr>
          <w:rFonts w:ascii="宋体" w:hAnsi="宋体" w:eastAsia="仿宋_GB2312" w:cs="Times New Roman"/>
          <w:bCs/>
          <w:color w:val="000000" w:themeColor="text1"/>
          <w:sz w:val="32"/>
          <w:szCs w:val="32"/>
          <w14:textFill>
            <w14:solidFill>
              <w14:schemeClr w14:val="tx1"/>
            </w14:solidFill>
          </w14:textFill>
        </w:rPr>
        <w:t>指导</w:t>
      </w:r>
      <w:r>
        <w:rPr>
          <w:rFonts w:hint="eastAsia" w:ascii="宋体" w:hAnsi="宋体" w:eastAsia="仿宋_GB2312" w:cs="Times New Roman"/>
          <w:bCs/>
          <w:color w:val="000000" w:themeColor="text1"/>
          <w:sz w:val="32"/>
          <w:szCs w:val="32"/>
          <w14:textFill>
            <w14:solidFill>
              <w14:schemeClr w14:val="tx1"/>
            </w14:solidFill>
          </w14:textFill>
        </w:rPr>
        <w:t>学生社团发展建设，</w:t>
      </w:r>
      <w:r>
        <w:rPr>
          <w:rFonts w:ascii="宋体" w:hAnsi="宋体" w:eastAsia="仿宋_GB2312" w:cs="Times New Roman"/>
          <w:bCs/>
          <w:color w:val="000000" w:themeColor="text1"/>
          <w:sz w:val="32"/>
          <w:szCs w:val="32"/>
          <w14:textFill>
            <w14:solidFill>
              <w14:schemeClr w14:val="tx1"/>
            </w14:solidFill>
          </w14:textFill>
        </w:rPr>
        <w:t>把握</w:t>
      </w:r>
      <w:r>
        <w:rPr>
          <w:rFonts w:hint="eastAsia" w:ascii="宋体" w:hAnsi="宋体" w:eastAsia="仿宋_GB2312" w:cs="Times New Roman"/>
          <w:bCs/>
          <w:color w:val="000000" w:themeColor="text1"/>
          <w:sz w:val="32"/>
          <w:szCs w:val="32"/>
          <w14:textFill>
            <w14:solidFill>
              <w14:schemeClr w14:val="tx1"/>
            </w14:solidFill>
          </w14:textFill>
        </w:rPr>
        <w:t>社团发展正确方向，</w:t>
      </w:r>
      <w:r>
        <w:rPr>
          <w:rFonts w:ascii="宋体" w:hAnsi="宋体" w:eastAsia="仿宋_GB2312" w:cs="Times New Roman"/>
          <w:bCs/>
          <w:color w:val="000000" w:themeColor="text1"/>
          <w:sz w:val="32"/>
          <w:szCs w:val="32"/>
          <w14:textFill>
            <w14:solidFill>
              <w14:schemeClr w14:val="tx1"/>
            </w14:solidFill>
          </w14:textFill>
        </w:rPr>
        <w:t>加强</w:t>
      </w:r>
      <w:r>
        <w:rPr>
          <w:rFonts w:hint="eastAsia" w:ascii="宋体" w:hAnsi="宋体" w:eastAsia="仿宋_GB2312" w:cs="Times New Roman"/>
          <w:bCs/>
          <w:color w:val="000000" w:themeColor="text1"/>
          <w:sz w:val="32"/>
          <w:szCs w:val="32"/>
          <w14:textFill>
            <w14:solidFill>
              <w14:schemeClr w14:val="tx1"/>
            </w14:solidFill>
          </w14:textFill>
        </w:rPr>
        <w:t>社团成员思想政治教育，规范学生社团日常管理，</w:t>
      </w:r>
      <w:r>
        <w:rPr>
          <w:rFonts w:ascii="宋体" w:hAnsi="宋体" w:eastAsia="仿宋_GB2312" w:cs="Times New Roman"/>
          <w:bCs/>
          <w:color w:val="000000" w:themeColor="text1"/>
          <w:sz w:val="32"/>
          <w:szCs w:val="32"/>
          <w14:textFill>
            <w14:solidFill>
              <w14:schemeClr w14:val="tx1"/>
            </w14:solidFill>
          </w14:textFill>
        </w:rPr>
        <w:t>参加</w:t>
      </w:r>
      <w:r>
        <w:rPr>
          <w:rFonts w:hint="eastAsia" w:ascii="宋体" w:hAnsi="宋体" w:eastAsia="仿宋_GB2312" w:cs="Times New Roman"/>
          <w:bCs/>
          <w:color w:val="000000" w:themeColor="text1"/>
          <w:sz w:val="32"/>
          <w:szCs w:val="32"/>
          <w14:textFill>
            <w14:solidFill>
              <w14:schemeClr w14:val="tx1"/>
            </w14:solidFill>
          </w14:textFill>
        </w:rPr>
        <w:t>学生社团相关活动，</w:t>
      </w:r>
      <w:r>
        <w:rPr>
          <w:rFonts w:ascii="宋体" w:hAnsi="宋体" w:eastAsia="仿宋_GB2312" w:cs="Times New Roman"/>
          <w:bCs/>
          <w:color w:val="000000" w:themeColor="text1"/>
          <w:sz w:val="32"/>
          <w:szCs w:val="32"/>
          <w14:textFill>
            <w14:solidFill>
              <w14:schemeClr w14:val="tx1"/>
            </w14:solidFill>
          </w14:textFill>
        </w:rPr>
        <w:t>开展</w:t>
      </w:r>
      <w:r>
        <w:rPr>
          <w:rFonts w:hint="eastAsia" w:ascii="宋体" w:hAnsi="宋体" w:eastAsia="仿宋_GB2312" w:cs="Times New Roman"/>
          <w:bCs/>
          <w:color w:val="000000" w:themeColor="text1"/>
          <w:sz w:val="32"/>
          <w:szCs w:val="32"/>
          <w14:textFill>
            <w14:solidFill>
              <w14:schemeClr w14:val="tx1"/>
            </w14:solidFill>
          </w14:textFill>
        </w:rPr>
        <w:t>学生社团骨干培训，</w:t>
      </w:r>
      <w:r>
        <w:rPr>
          <w:rFonts w:ascii="宋体" w:hAnsi="宋体" w:eastAsia="仿宋_GB2312" w:cs="Times New Roman"/>
          <w:bCs/>
          <w:color w:val="000000" w:themeColor="text1"/>
          <w:sz w:val="32"/>
          <w:szCs w:val="32"/>
          <w14:textFill>
            <w14:solidFill>
              <w14:schemeClr w14:val="tx1"/>
            </w14:solidFill>
          </w14:textFill>
        </w:rPr>
        <w:t>定期</w:t>
      </w:r>
      <w:r>
        <w:rPr>
          <w:rFonts w:hint="eastAsia" w:ascii="宋体" w:hAnsi="宋体" w:eastAsia="仿宋_GB2312" w:cs="Times New Roman"/>
          <w:bCs/>
          <w:color w:val="000000" w:themeColor="text1"/>
          <w:sz w:val="32"/>
          <w:szCs w:val="32"/>
          <w14:textFill>
            <w14:solidFill>
              <w14:schemeClr w14:val="tx1"/>
            </w14:solidFill>
          </w14:textFill>
        </w:rPr>
        <w:t>对所指导社团工作进行总结，</w:t>
      </w:r>
      <w:r>
        <w:rPr>
          <w:rFonts w:ascii="宋体" w:hAnsi="宋体" w:eastAsia="仿宋_GB2312" w:cs="Times New Roman"/>
          <w:bCs/>
          <w:color w:val="000000" w:themeColor="text1"/>
          <w:sz w:val="32"/>
          <w:szCs w:val="32"/>
          <w14:textFill>
            <w14:solidFill>
              <w14:schemeClr w14:val="tx1"/>
            </w14:solidFill>
          </w14:textFill>
        </w:rPr>
        <w:t>及时</w:t>
      </w:r>
      <w:r>
        <w:rPr>
          <w:rFonts w:hint="eastAsia" w:ascii="宋体" w:hAnsi="宋体" w:eastAsia="仿宋_GB2312" w:cs="Times New Roman"/>
          <w:bCs/>
          <w:color w:val="000000" w:themeColor="text1"/>
          <w:sz w:val="32"/>
          <w:szCs w:val="32"/>
          <w14:textFill>
            <w14:solidFill>
              <w14:schemeClr w14:val="tx1"/>
            </w14:solidFill>
          </w14:textFill>
        </w:rPr>
        <w:t>发现掌握、</w:t>
      </w:r>
      <w:r>
        <w:rPr>
          <w:rFonts w:ascii="宋体" w:hAnsi="宋体" w:eastAsia="仿宋_GB2312" w:cs="Times New Roman"/>
          <w:bCs/>
          <w:color w:val="000000" w:themeColor="text1"/>
          <w:sz w:val="32"/>
          <w:szCs w:val="32"/>
          <w14:textFill>
            <w14:solidFill>
              <w14:schemeClr w14:val="tx1"/>
            </w14:solidFill>
          </w14:textFill>
        </w:rPr>
        <w:t>指导</w:t>
      </w:r>
      <w:r>
        <w:rPr>
          <w:rFonts w:hint="eastAsia" w:ascii="宋体" w:hAnsi="宋体" w:eastAsia="仿宋_GB2312" w:cs="Times New Roman"/>
          <w:bCs/>
          <w:color w:val="000000" w:themeColor="text1"/>
          <w:sz w:val="32"/>
          <w:szCs w:val="32"/>
          <w14:textFill>
            <w14:solidFill>
              <w14:schemeClr w14:val="tx1"/>
            </w14:solidFill>
          </w14:textFill>
        </w:rPr>
        <w:t>整改社团建设、</w:t>
      </w:r>
      <w:r>
        <w:rPr>
          <w:rFonts w:ascii="宋体" w:hAnsi="宋体" w:eastAsia="仿宋_GB2312" w:cs="Times New Roman"/>
          <w:bCs/>
          <w:color w:val="000000" w:themeColor="text1"/>
          <w:sz w:val="32"/>
          <w:szCs w:val="32"/>
          <w14:textFill>
            <w14:solidFill>
              <w14:schemeClr w14:val="tx1"/>
            </w14:solidFill>
          </w14:textFill>
        </w:rPr>
        <w:t>活动</w:t>
      </w:r>
      <w:r>
        <w:rPr>
          <w:rFonts w:hint="eastAsia" w:ascii="宋体" w:hAnsi="宋体" w:eastAsia="仿宋_GB2312" w:cs="Times New Roman"/>
          <w:bCs/>
          <w:color w:val="000000" w:themeColor="text1"/>
          <w:sz w:val="32"/>
          <w:szCs w:val="32"/>
          <w14:textFill>
            <w14:solidFill>
              <w14:schemeClr w14:val="tx1"/>
            </w14:solidFill>
          </w14:textFill>
        </w:rPr>
        <w:t>中存在的突出问题，</w:t>
      </w:r>
      <w:r>
        <w:rPr>
          <w:rFonts w:ascii="宋体" w:hAnsi="宋体" w:eastAsia="仿宋_GB2312" w:cs="Times New Roman"/>
          <w:bCs/>
          <w:color w:val="000000" w:themeColor="text1"/>
          <w:sz w:val="32"/>
          <w:szCs w:val="32"/>
          <w14:textFill>
            <w14:solidFill>
              <w14:schemeClr w14:val="tx1"/>
            </w14:solidFill>
          </w14:textFill>
        </w:rPr>
        <w:t>并</w:t>
      </w:r>
      <w:r>
        <w:rPr>
          <w:rFonts w:hint="eastAsia" w:ascii="宋体" w:hAnsi="宋体" w:eastAsia="仿宋_GB2312" w:cs="Times New Roman"/>
          <w:bCs/>
          <w:color w:val="000000" w:themeColor="text1"/>
          <w:sz w:val="32"/>
          <w:szCs w:val="32"/>
          <w14:textFill>
            <w14:solidFill>
              <w14:schemeClr w14:val="tx1"/>
            </w14:solidFill>
          </w14:textFill>
        </w:rPr>
        <w:t>向校团委、党委学生工作部报告等。</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第十三条</w:t>
      </w:r>
      <w:r>
        <w:rPr>
          <w:rFonts w:hint="eastAsia" w:ascii="宋体" w:hAnsi="宋体" w:eastAsia="仿宋_GB2312" w:cs="Times New Roman"/>
          <w:b/>
          <w:bCs/>
          <w:color w:val="000000" w:themeColor="text1"/>
          <w:sz w:val="32"/>
          <w:szCs w:val="32"/>
          <w14:textFill>
            <w14:solidFill>
              <w14:schemeClr w14:val="tx1"/>
            </w14:solidFill>
          </w14:textFill>
        </w:rPr>
        <w:t xml:space="preserve"> </w:t>
      </w:r>
      <w:r>
        <w:rPr>
          <w:rFonts w:hint="eastAsia" w:ascii="宋体" w:hAnsi="宋体" w:eastAsia="仿宋_GB2312" w:cs="Times New Roman"/>
          <w:bCs/>
          <w:color w:val="000000" w:themeColor="text1"/>
          <w:sz w:val="32"/>
          <w:szCs w:val="32"/>
          <w14:textFill>
            <w14:solidFill>
              <w14:schemeClr w14:val="tx1"/>
            </w14:solidFill>
          </w14:textFill>
        </w:rPr>
        <w:t>学生社团指导教师应为本校在职在岗教职工，</w:t>
      </w:r>
      <w:r>
        <w:rPr>
          <w:rFonts w:hint="eastAsia" w:ascii="宋体" w:hAnsi="宋体" w:eastAsia="仿宋_GB2312" w:cs="Times New Roman"/>
          <w:sz w:val="32"/>
          <w:szCs w:val="32"/>
        </w:rPr>
        <w:t>具备较强的思想政治素质、</w:t>
      </w:r>
      <w:r>
        <w:rPr>
          <w:rFonts w:ascii="宋体" w:hAnsi="宋体" w:eastAsia="仿宋_GB2312" w:cs="Times New Roman"/>
          <w:sz w:val="32"/>
          <w:szCs w:val="32"/>
        </w:rPr>
        <w:t>组织</w:t>
      </w:r>
      <w:r>
        <w:rPr>
          <w:rFonts w:hint="eastAsia" w:ascii="宋体" w:hAnsi="宋体" w:eastAsia="仿宋_GB2312" w:cs="Times New Roman"/>
          <w:sz w:val="32"/>
          <w:szCs w:val="32"/>
        </w:rPr>
        <w:t>管理能力和与社团发展相关的专业知识，热心公益事务，</w:t>
      </w:r>
      <w:r>
        <w:rPr>
          <w:rFonts w:ascii="宋体" w:hAnsi="宋体" w:eastAsia="仿宋_GB2312" w:cs="Times New Roman"/>
          <w:sz w:val="32"/>
          <w:szCs w:val="32"/>
        </w:rPr>
        <w:t>具有</w:t>
      </w:r>
      <w:r>
        <w:rPr>
          <w:rFonts w:hint="eastAsia" w:ascii="宋体" w:hAnsi="宋体" w:eastAsia="仿宋_GB2312" w:cs="Times New Roman"/>
          <w:sz w:val="32"/>
          <w:szCs w:val="32"/>
        </w:rPr>
        <w:t>奉献精神，</w:t>
      </w:r>
      <w:r>
        <w:rPr>
          <w:rFonts w:ascii="宋体" w:hAnsi="宋体" w:eastAsia="仿宋_GB2312" w:cs="Times New Roman"/>
          <w:sz w:val="32"/>
          <w:szCs w:val="32"/>
        </w:rPr>
        <w:t>关爱</w:t>
      </w:r>
      <w:r>
        <w:rPr>
          <w:rFonts w:hint="eastAsia" w:ascii="宋体" w:hAnsi="宋体" w:eastAsia="仿宋_GB2312" w:cs="Times New Roman"/>
          <w:sz w:val="32"/>
          <w:szCs w:val="32"/>
        </w:rPr>
        <w:t>学生成长。</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第十四条</w:t>
      </w:r>
      <w:r>
        <w:rPr>
          <w:rFonts w:hint="eastAsia" w:ascii="宋体" w:hAnsi="宋体" w:eastAsia="仿宋_GB2312" w:cs="Times New Roman"/>
          <w:b/>
          <w:bCs/>
          <w:color w:val="000000" w:themeColor="text1"/>
          <w:sz w:val="32"/>
          <w:szCs w:val="32"/>
          <w14:textFill>
            <w14:solidFill>
              <w14:schemeClr w14:val="tx1"/>
            </w14:solidFill>
          </w14:textFill>
        </w:rPr>
        <w:t xml:space="preserve"> </w:t>
      </w:r>
      <w:r>
        <w:rPr>
          <w:rFonts w:hint="eastAsia" w:ascii="宋体" w:hAnsi="宋体" w:eastAsia="仿宋_GB2312" w:cs="Times New Roman"/>
          <w:sz w:val="32"/>
          <w:szCs w:val="32"/>
        </w:rPr>
        <w:t>采用“一社双师”方式，配强学生社团指导教师，为每个社团至少选聘1名专业指导教师和1名日常事务管理教师。加强社团指导教师队伍建设，</w:t>
      </w:r>
      <w:r>
        <w:rPr>
          <w:rFonts w:ascii="宋体" w:hAnsi="宋体" w:eastAsia="仿宋_GB2312" w:cs="Times New Roman"/>
          <w:sz w:val="32"/>
          <w:szCs w:val="32"/>
        </w:rPr>
        <w:t>形成</w:t>
      </w:r>
      <w:r>
        <w:rPr>
          <w:rFonts w:hint="eastAsia" w:ascii="宋体" w:hAnsi="宋体" w:eastAsia="仿宋_GB2312" w:cs="Times New Roman"/>
          <w:sz w:val="32"/>
          <w:szCs w:val="32"/>
        </w:rPr>
        <w:t>齐抓共管的协调联动长效机制。党委学生工作部牵头建立学生社团指导教师选聘机制，会同校团委、</w:t>
      </w:r>
      <w:r>
        <w:rPr>
          <w:rFonts w:ascii="宋体" w:hAnsi="宋体" w:eastAsia="仿宋_GB2312" w:cs="Times New Roman"/>
          <w:sz w:val="32"/>
          <w:szCs w:val="32"/>
        </w:rPr>
        <w:t>组织部</w:t>
      </w:r>
      <w:r>
        <w:rPr>
          <w:rFonts w:hint="eastAsia" w:ascii="宋体" w:hAnsi="宋体" w:eastAsia="仿宋_GB2312" w:cs="Times New Roman"/>
          <w:sz w:val="32"/>
          <w:szCs w:val="32"/>
        </w:rPr>
        <w:t>、宣传部、人事处、</w:t>
      </w:r>
      <w:r>
        <w:rPr>
          <w:rFonts w:ascii="宋体" w:hAnsi="宋体" w:eastAsia="仿宋_GB2312" w:cs="Times New Roman"/>
          <w:sz w:val="32"/>
          <w:szCs w:val="32"/>
        </w:rPr>
        <w:t>教务处</w:t>
      </w:r>
      <w:r>
        <w:rPr>
          <w:rFonts w:hint="eastAsia" w:ascii="宋体" w:hAnsi="宋体" w:eastAsia="仿宋_GB2312" w:cs="Times New Roman"/>
          <w:sz w:val="32"/>
          <w:szCs w:val="32"/>
        </w:rPr>
        <w:t>等部门，</w:t>
      </w:r>
      <w:r>
        <w:rPr>
          <w:rFonts w:ascii="宋体" w:hAnsi="宋体" w:eastAsia="仿宋_GB2312" w:cs="Times New Roman"/>
          <w:sz w:val="32"/>
          <w:szCs w:val="32"/>
        </w:rPr>
        <w:t>按照</w:t>
      </w:r>
      <w:r>
        <w:rPr>
          <w:rFonts w:hint="eastAsia" w:ascii="宋体" w:hAnsi="宋体" w:eastAsia="仿宋_GB2312" w:cs="Times New Roman"/>
          <w:sz w:val="32"/>
          <w:szCs w:val="32"/>
        </w:rPr>
        <w:t>个人申请、业务</w:t>
      </w:r>
      <w:r>
        <w:rPr>
          <w:rFonts w:ascii="宋体" w:hAnsi="宋体" w:eastAsia="仿宋_GB2312" w:cs="Times New Roman"/>
          <w:sz w:val="32"/>
          <w:szCs w:val="32"/>
        </w:rPr>
        <w:t>指导单位遴选</w:t>
      </w:r>
      <w:r>
        <w:rPr>
          <w:rFonts w:hint="eastAsia" w:ascii="宋体" w:hAnsi="宋体" w:eastAsia="仿宋_GB2312" w:cs="Times New Roman"/>
          <w:sz w:val="32"/>
          <w:szCs w:val="32"/>
        </w:rPr>
        <w:t>推荐、</w:t>
      </w:r>
      <w:r>
        <w:rPr>
          <w:rFonts w:ascii="宋体" w:hAnsi="宋体" w:eastAsia="仿宋_GB2312" w:cs="Times New Roman"/>
          <w:sz w:val="32"/>
          <w:szCs w:val="32"/>
        </w:rPr>
        <w:t>双向</w:t>
      </w:r>
      <w:r>
        <w:rPr>
          <w:rFonts w:hint="eastAsia" w:ascii="宋体" w:hAnsi="宋体" w:eastAsia="仿宋_GB2312" w:cs="Times New Roman"/>
          <w:sz w:val="32"/>
          <w:szCs w:val="32"/>
        </w:rPr>
        <w:t>选择的原则建立指导教师库，并在教师库内选聘指导教师。思想政治类社团和志愿公益类社团指导教师须为中共党员。指导教师实行聘任制，</w:t>
      </w:r>
      <w:r>
        <w:rPr>
          <w:rFonts w:ascii="宋体" w:hAnsi="宋体" w:eastAsia="仿宋_GB2312" w:cs="Times New Roman"/>
          <w:sz w:val="32"/>
          <w:szCs w:val="32"/>
        </w:rPr>
        <w:t>每个</w:t>
      </w:r>
      <w:r>
        <w:rPr>
          <w:rFonts w:hint="eastAsia" w:ascii="宋体" w:hAnsi="宋体" w:eastAsia="仿宋_GB2312" w:cs="Times New Roman"/>
          <w:sz w:val="32"/>
          <w:szCs w:val="32"/>
        </w:rPr>
        <w:t>聘期1年，原则上每名指导教师最多指导2个学生社团。</w:t>
      </w:r>
    </w:p>
    <w:p>
      <w:pPr>
        <w:spacing w:line="540" w:lineRule="exact"/>
        <w:ind w:firstLine="640" w:firstLineChars="200"/>
        <w:rPr>
          <w:rFonts w:ascii="宋体" w:hAnsi="宋体" w:eastAsia="仿宋_GB2312" w:cs="Times New Roman"/>
          <w:b/>
          <w:sz w:val="32"/>
          <w:szCs w:val="32"/>
        </w:rPr>
      </w:pPr>
      <w:r>
        <w:rPr>
          <w:rFonts w:hint="eastAsia" w:ascii="楷体" w:hAnsi="楷体" w:eastAsia="楷体" w:cs="Times New Roman"/>
          <w:bCs/>
          <w:sz w:val="32"/>
          <w:szCs w:val="32"/>
        </w:rPr>
        <w:t>第十五条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党委学生工作部要牵头加强对学生社团指导教师评价考核与激励。</w:t>
      </w:r>
      <w:r>
        <w:rPr>
          <w:rFonts w:ascii="宋体" w:hAnsi="宋体" w:eastAsia="仿宋_GB2312" w:cs="Times New Roman"/>
          <w:sz w:val="32"/>
          <w:szCs w:val="32"/>
        </w:rPr>
        <w:t>将</w:t>
      </w:r>
      <w:r>
        <w:rPr>
          <w:rFonts w:hint="eastAsia" w:ascii="宋体" w:hAnsi="宋体" w:eastAsia="仿宋_GB2312" w:cs="Times New Roman"/>
          <w:sz w:val="32"/>
          <w:szCs w:val="32"/>
        </w:rPr>
        <w:t>指导教师纳入我校思想政治工作队伍培训计划，</w:t>
      </w:r>
      <w:r>
        <w:rPr>
          <w:rFonts w:ascii="宋体" w:hAnsi="宋体" w:eastAsia="仿宋_GB2312" w:cs="Times New Roman"/>
          <w:sz w:val="32"/>
          <w:szCs w:val="32"/>
        </w:rPr>
        <w:t>加大</w:t>
      </w:r>
      <w:r>
        <w:rPr>
          <w:rFonts w:hint="eastAsia" w:ascii="宋体" w:hAnsi="宋体" w:eastAsia="仿宋_GB2312" w:cs="Times New Roman"/>
          <w:sz w:val="32"/>
          <w:szCs w:val="32"/>
        </w:rPr>
        <w:t>培训力度。在科学核算认定指导教师工作量的基础上，</w:t>
      </w:r>
      <w:r>
        <w:rPr>
          <w:rFonts w:ascii="宋体" w:hAnsi="宋体" w:eastAsia="仿宋_GB2312" w:cs="Times New Roman"/>
          <w:sz w:val="32"/>
          <w:szCs w:val="32"/>
        </w:rPr>
        <w:t>将</w:t>
      </w:r>
      <w:r>
        <w:rPr>
          <w:rFonts w:hint="eastAsia" w:ascii="宋体" w:hAnsi="宋体" w:eastAsia="仿宋_GB2312" w:cs="Times New Roman"/>
          <w:sz w:val="32"/>
          <w:szCs w:val="32"/>
        </w:rPr>
        <w:t>指导学生社团情况纳入教师思想政治工作和师德师风表现中。</w:t>
      </w:r>
      <w:r>
        <w:rPr>
          <w:rFonts w:ascii="宋体" w:hAnsi="宋体" w:eastAsia="仿宋_GB2312" w:cs="Times New Roman"/>
          <w:sz w:val="32"/>
          <w:szCs w:val="32"/>
        </w:rPr>
        <w:t>对</w:t>
      </w:r>
      <w:r>
        <w:rPr>
          <w:rFonts w:hint="eastAsia" w:ascii="宋体" w:hAnsi="宋体" w:eastAsia="仿宋_GB2312" w:cs="Times New Roman"/>
          <w:sz w:val="32"/>
          <w:szCs w:val="32"/>
        </w:rPr>
        <w:t>考核优秀的指导教师在绩效工资、职称评聘、评奖评优中给予政策支持，</w:t>
      </w:r>
      <w:r>
        <w:rPr>
          <w:rFonts w:ascii="宋体" w:hAnsi="宋体" w:eastAsia="仿宋_GB2312" w:cs="Times New Roman"/>
          <w:sz w:val="32"/>
          <w:szCs w:val="32"/>
        </w:rPr>
        <w:t>对</w:t>
      </w:r>
      <w:r>
        <w:rPr>
          <w:rFonts w:hint="eastAsia" w:ascii="宋体" w:hAnsi="宋体" w:eastAsia="仿宋_GB2312" w:cs="Times New Roman"/>
          <w:sz w:val="32"/>
          <w:szCs w:val="32"/>
        </w:rPr>
        <w:t>考核不合格的指导教师要依规解除聘任，并视情节严重程度对相关责任人予以追究。</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第十六条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指导教师工作量核算认定及管理条例详见</w:t>
      </w:r>
      <w:r>
        <w:rPr>
          <w:rFonts w:ascii="宋体" w:hAnsi="宋体" w:eastAsia="仿宋_GB2312" w:cs="Times New Roman"/>
          <w:sz w:val="32"/>
          <w:szCs w:val="32"/>
        </w:rPr>
        <w:t>《关于印发</w:t>
      </w:r>
      <w:r>
        <w:rPr>
          <w:rFonts w:hint="eastAsia" w:ascii="宋体" w:hAnsi="宋体" w:eastAsia="仿宋_GB2312" w:cs="Times New Roman"/>
          <w:sz w:val="32"/>
          <w:szCs w:val="32"/>
        </w:rPr>
        <w:t>&lt;</w:t>
      </w:r>
      <w:r>
        <w:rPr>
          <w:rFonts w:ascii="宋体" w:hAnsi="宋体" w:eastAsia="仿宋_GB2312" w:cs="Times New Roman"/>
          <w:sz w:val="32"/>
          <w:szCs w:val="32"/>
        </w:rPr>
        <w:t>三明学院学生社团指导教师选聘及工作条例（试行）</w:t>
      </w:r>
      <w:r>
        <w:rPr>
          <w:rFonts w:hint="eastAsia" w:ascii="宋体" w:hAnsi="宋体" w:eastAsia="仿宋_GB2312" w:cs="Times New Roman"/>
          <w:sz w:val="32"/>
          <w:szCs w:val="32"/>
        </w:rPr>
        <w:t>&gt;</w:t>
      </w:r>
      <w:r>
        <w:rPr>
          <w:rFonts w:ascii="宋体" w:hAnsi="宋体" w:eastAsia="仿宋_GB2312" w:cs="Times New Roman"/>
          <w:sz w:val="32"/>
          <w:szCs w:val="32"/>
        </w:rPr>
        <w:t>的通知》（明院办发〔2019〕76号）</w:t>
      </w:r>
      <w:r>
        <w:rPr>
          <w:rFonts w:hint="eastAsia" w:ascii="宋体" w:hAnsi="宋体" w:eastAsia="仿宋_GB2312" w:cs="Times New Roman"/>
          <w:sz w:val="32"/>
          <w:szCs w:val="32"/>
        </w:rPr>
        <w:t>。</w:t>
      </w:r>
      <w:bookmarkStart w:id="2" w:name="_Toc21048"/>
    </w:p>
    <w:p>
      <w:pPr>
        <w:spacing w:line="540" w:lineRule="exact"/>
        <w:ind w:firstLine="640" w:firstLineChars="200"/>
        <w:rPr>
          <w:rFonts w:ascii="宋体" w:hAnsi="宋体" w:eastAsia="仿宋_GB2312" w:cs="Times New Roman"/>
          <w:sz w:val="32"/>
          <w:szCs w:val="32"/>
        </w:rPr>
      </w:pPr>
    </w:p>
    <w:bookmarkEnd w:id="2"/>
    <w:p>
      <w:pPr>
        <w:widowControl/>
        <w:spacing w:line="540" w:lineRule="exact"/>
        <w:jc w:val="center"/>
        <w:rPr>
          <w:rFonts w:ascii="宋体" w:hAnsi="宋体" w:eastAsia="黑体" w:cs="黑体"/>
          <w:bCs/>
          <w:sz w:val="32"/>
          <w:szCs w:val="32"/>
        </w:rPr>
      </w:pPr>
      <w:r>
        <w:rPr>
          <w:rFonts w:hint="eastAsia" w:ascii="宋体" w:hAnsi="宋体" w:eastAsia="黑体" w:cs="黑体"/>
          <w:bCs/>
          <w:kern w:val="0"/>
          <w:sz w:val="32"/>
          <w:szCs w:val="32"/>
          <w:lang w:bidi="ar"/>
        </w:rPr>
        <w:t>第四章 组织建设</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第十七条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充分保障学生社团成员权利。所有学生社团成员应当是具有三明学院正式学籍的在读学生。社团成员有权了解所在社团的章程、组织机构和财务制度,有权对社团的管理和活动提出建议和质询,有权按照章程申请加入或退出该社团,有权向上级管理部门反映社团及其成员出现的违反法律法规或校纪校规等问题。社团成员应定期注册,并按要求参加社团相关活动,每名学生最多加入2个学生社团。</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第十八条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完善学生社团全体成员大会制度。拟批准成立的学生社团要召开全体成员大会或成员代表大会,通过社团章程选举产生社团执行机构和负责人候选人。已注册的学生社团要定期召开全体成员大会或成员代表大会,依照社团章程行使职权,包括选举和更换社团负责人候选人,审议社团工作报告,对社团变更、解散等事项作出决定,修改社团章程,监督社团财务及活动开展情况等。</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第十九条</w:t>
      </w:r>
      <w:r>
        <w:rPr>
          <w:rFonts w:hint="eastAsia" w:ascii="宋体" w:hAnsi="宋体" w:eastAsia="仿宋_GB2312" w:cs="Times New Roman"/>
          <w:b/>
          <w:bCs/>
          <w:sz w:val="32"/>
          <w:szCs w:val="32"/>
        </w:rPr>
        <w:t xml:space="preserve"> </w:t>
      </w:r>
      <w:r>
        <w:rPr>
          <w:rFonts w:hint="eastAsia" w:ascii="宋体" w:hAnsi="宋体" w:eastAsia="仿宋_GB2312" w:cs="Times New Roman"/>
          <w:sz w:val="32"/>
          <w:szCs w:val="32"/>
        </w:rPr>
        <w:t>健全学生社团骨干遴选机制。学生社团负责人候选人须政治立场鲜明、学习成绩优秀、组织能力突出。学习成绩综合排名须在班级前50%以内。学生社团负责人由校团委在党委学生工作部的指导下,通过提名推荐、公开选举、考察公示、审核批准等环节遴选产生。思想政治类社团和志愿公益类社团的主要负责人应为中共党员。学生社团各部门负责人由学生社团在指导教师的指导下遴选产生,名单报业务指导单位、校团委审核备案。</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第二十条</w:t>
      </w:r>
      <w:r>
        <w:rPr>
          <w:rFonts w:hint="eastAsia" w:ascii="宋体" w:hAnsi="宋体" w:eastAsia="仿宋_GB2312" w:cs="Times New Roman"/>
          <w:b/>
          <w:bCs/>
          <w:sz w:val="32"/>
          <w:szCs w:val="32"/>
        </w:rPr>
        <w:t xml:space="preserve"> </w:t>
      </w:r>
      <w:r>
        <w:rPr>
          <w:rFonts w:hint="eastAsia" w:ascii="宋体" w:hAnsi="宋体" w:eastAsia="仿宋_GB2312" w:cs="Times New Roman"/>
          <w:bCs/>
          <w:sz w:val="32"/>
          <w:szCs w:val="32"/>
        </w:rPr>
        <w:t>强化学生社团骨干评价激励。</w:t>
      </w:r>
      <w:r>
        <w:rPr>
          <w:rFonts w:hint="eastAsia" w:ascii="宋体" w:hAnsi="宋体" w:eastAsia="仿宋_GB2312" w:cs="Times New Roman"/>
          <w:sz w:val="32"/>
          <w:szCs w:val="32"/>
        </w:rPr>
        <w:t>制定全面客观、</w:t>
      </w:r>
      <w:r>
        <w:rPr>
          <w:rFonts w:ascii="宋体" w:hAnsi="宋体" w:eastAsia="仿宋_GB2312" w:cs="Times New Roman"/>
          <w:sz w:val="32"/>
          <w:szCs w:val="32"/>
        </w:rPr>
        <w:t>科学</w:t>
      </w:r>
      <w:r>
        <w:rPr>
          <w:rFonts w:hint="eastAsia" w:ascii="宋体" w:hAnsi="宋体" w:eastAsia="仿宋_GB2312" w:cs="Times New Roman"/>
          <w:sz w:val="32"/>
          <w:szCs w:val="32"/>
        </w:rPr>
        <w:t>有效的学生社团骨干评价考核办法，建立以服务和贡献为导向的荣誉激励机制,引导学生社团骨干全心全意为社团发展服务,为社团成员成长助力,在社团工作的实践中受教育、长才干、作贡献。</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第二十一条</w:t>
      </w:r>
      <w:r>
        <w:rPr>
          <w:rFonts w:hint="eastAsia" w:ascii="宋体" w:hAnsi="宋体" w:eastAsia="仿宋_GB2312" w:cs="Times New Roman"/>
          <w:b/>
          <w:bCs/>
          <w:sz w:val="32"/>
          <w:szCs w:val="32"/>
        </w:rPr>
        <w:t xml:space="preserve"> </w:t>
      </w:r>
      <w:r>
        <w:rPr>
          <w:rFonts w:hint="eastAsia" w:ascii="宋体" w:hAnsi="宋体" w:eastAsia="仿宋_GB2312" w:cs="Times New Roman"/>
          <w:bCs/>
          <w:sz w:val="32"/>
          <w:szCs w:val="32"/>
        </w:rPr>
        <w:t>加强学生社团政治引领。</w:t>
      </w:r>
      <w:r>
        <w:rPr>
          <w:rFonts w:hint="eastAsia" w:ascii="宋体" w:hAnsi="宋体" w:eastAsia="仿宋_GB2312" w:cs="Times New Roman"/>
          <w:sz w:val="32"/>
          <w:szCs w:val="32"/>
        </w:rPr>
        <w:t>具备条件的学生社团原则上应建立临时党支部或团支部,承担政治理论学习、研究社团重要事项等职责。临时党支部(团支部)一般不发展党员(团员),不收缴党费(团费),不选举党代表(团代表)等。学生社团注销后,临时党支部或团支部自然撤销。</w:t>
      </w:r>
    </w:p>
    <w:p>
      <w:pPr>
        <w:spacing w:line="540" w:lineRule="exact"/>
        <w:ind w:firstLine="640" w:firstLineChars="200"/>
        <w:rPr>
          <w:rFonts w:ascii="宋体" w:hAnsi="宋体" w:eastAsia="仿宋_GB2312" w:cs="Times New Roman"/>
          <w:sz w:val="32"/>
          <w:szCs w:val="32"/>
        </w:rPr>
      </w:pPr>
    </w:p>
    <w:p>
      <w:pPr>
        <w:widowControl/>
        <w:spacing w:line="540" w:lineRule="exact"/>
        <w:jc w:val="center"/>
        <w:rPr>
          <w:rFonts w:ascii="宋体" w:hAnsi="宋体" w:eastAsia="黑体" w:cs="黑体"/>
          <w:bCs/>
          <w:sz w:val="32"/>
          <w:szCs w:val="32"/>
        </w:rPr>
      </w:pPr>
      <w:r>
        <w:rPr>
          <w:rFonts w:hint="eastAsia" w:ascii="宋体" w:hAnsi="宋体" w:eastAsia="黑体" w:cs="黑体"/>
          <w:bCs/>
          <w:kern w:val="0"/>
          <w:sz w:val="32"/>
          <w:szCs w:val="32"/>
          <w:lang w:bidi="ar"/>
        </w:rPr>
        <w:t>第五章 活动管理</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二十二</w:t>
      </w:r>
      <w:r>
        <w:rPr>
          <w:rFonts w:ascii="楷体" w:hAnsi="楷体" w:eastAsia="楷体" w:cs="Times New Roman"/>
          <w:bCs/>
          <w:sz w:val="32"/>
          <w:szCs w:val="32"/>
        </w:rPr>
        <w:t>条</w:t>
      </w:r>
      <w:r>
        <w:rPr>
          <w:rFonts w:hint="eastAsia" w:ascii="宋体" w:hAnsi="宋体" w:eastAsia="仿宋_GB2312" w:cs="Times New Roman"/>
          <w:b/>
          <w:bCs/>
          <w:sz w:val="32"/>
          <w:szCs w:val="32"/>
        </w:rPr>
        <w:t xml:space="preserve"> </w:t>
      </w:r>
      <w:r>
        <w:rPr>
          <w:rFonts w:ascii="宋体" w:hAnsi="宋体" w:eastAsia="仿宋_GB2312" w:cs="Times New Roman"/>
          <w:sz w:val="32"/>
          <w:szCs w:val="32"/>
        </w:rPr>
        <w:t>学生社团</w:t>
      </w:r>
      <w:r>
        <w:rPr>
          <w:rFonts w:hint="eastAsia" w:ascii="宋体" w:hAnsi="宋体" w:eastAsia="仿宋_GB2312" w:cs="Times New Roman"/>
          <w:sz w:val="32"/>
          <w:szCs w:val="32"/>
        </w:rPr>
        <w:t>必须</w:t>
      </w:r>
      <w:r>
        <w:rPr>
          <w:rFonts w:ascii="宋体" w:hAnsi="宋体" w:eastAsia="仿宋_GB2312" w:cs="Times New Roman"/>
          <w:sz w:val="32"/>
          <w:szCs w:val="32"/>
        </w:rPr>
        <w:t>依据法律法规、校纪校规、社团章程广泛开展社团活动。</w:t>
      </w:r>
      <w:r>
        <w:rPr>
          <w:rFonts w:hint="eastAsia" w:ascii="宋体" w:hAnsi="宋体" w:eastAsia="仿宋_GB2312" w:cs="Times New Roman"/>
          <w:sz w:val="32"/>
          <w:szCs w:val="32"/>
        </w:rPr>
        <w:t>鼓励</w:t>
      </w:r>
      <w:r>
        <w:rPr>
          <w:rFonts w:ascii="宋体" w:hAnsi="宋体" w:eastAsia="仿宋_GB2312" w:cs="Times New Roman"/>
          <w:sz w:val="32"/>
          <w:szCs w:val="32"/>
        </w:rPr>
        <w:t>积极创新载体形式,充分利用新媒体技术,不断增强社团活动的吸引力和感染力。</w:t>
      </w:r>
      <w:r>
        <w:rPr>
          <w:rFonts w:hint="eastAsia" w:ascii="宋体" w:hAnsi="宋体" w:eastAsia="仿宋_GB2312" w:cs="Times New Roman"/>
          <w:sz w:val="32"/>
          <w:szCs w:val="32"/>
        </w:rPr>
        <w:t>学生</w:t>
      </w:r>
      <w:r>
        <w:rPr>
          <w:rFonts w:ascii="宋体" w:hAnsi="宋体" w:eastAsia="仿宋_GB2312" w:cs="Times New Roman"/>
          <w:sz w:val="32"/>
          <w:szCs w:val="32"/>
        </w:rPr>
        <w:t>社团</w:t>
      </w:r>
      <w:r>
        <w:rPr>
          <w:rFonts w:hint="eastAsia" w:ascii="宋体" w:hAnsi="宋体" w:eastAsia="仿宋_GB2312" w:cs="Times New Roman"/>
          <w:sz w:val="32"/>
          <w:szCs w:val="32"/>
        </w:rPr>
        <w:t>举办活动须经学生社团集体决策、指导教师同意并报业务指导单位批准后方可开展，同时提交校团委备案。社团特色及</w:t>
      </w:r>
      <w:r>
        <w:rPr>
          <w:rFonts w:ascii="宋体" w:hAnsi="宋体" w:eastAsia="仿宋_GB2312" w:cs="Times New Roman"/>
          <w:sz w:val="32"/>
          <w:szCs w:val="32"/>
        </w:rPr>
        <w:t>重大</w:t>
      </w:r>
      <w:r>
        <w:rPr>
          <w:rFonts w:hint="eastAsia" w:ascii="宋体" w:hAnsi="宋体" w:eastAsia="仿宋_GB2312" w:cs="Times New Roman"/>
          <w:sz w:val="32"/>
          <w:szCs w:val="32"/>
        </w:rPr>
        <w:t>活动，可通过申报答辩争取校级重点校园文化活动立项支持。社团成立未满一年，不得申请校级重点校园文化活动立项。</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二十三</w:t>
      </w:r>
      <w:r>
        <w:rPr>
          <w:rFonts w:ascii="楷体" w:hAnsi="楷体" w:eastAsia="楷体" w:cs="Times New Roman"/>
          <w:bCs/>
          <w:sz w:val="32"/>
          <w:szCs w:val="32"/>
        </w:rPr>
        <w:t>条</w:t>
      </w:r>
      <w:r>
        <w:rPr>
          <w:rFonts w:hint="eastAsia" w:ascii="宋体" w:hAnsi="宋体" w:eastAsia="仿宋_GB2312" w:cs="Times New Roman"/>
          <w:b/>
          <w:bCs/>
          <w:sz w:val="32"/>
          <w:szCs w:val="32"/>
        </w:rPr>
        <w:t xml:space="preserve"> </w:t>
      </w:r>
      <w:r>
        <w:rPr>
          <w:rFonts w:ascii="宋体" w:hAnsi="宋体" w:eastAsia="仿宋_GB2312" w:cs="Times New Roman"/>
          <w:sz w:val="32"/>
          <w:szCs w:val="32"/>
        </w:rPr>
        <w:t>学生社团及其成员不得开展与其宗旨不符的活动,不得开展纯商业性活动,不得参与违法违纪活动,不得散布违背宪法、法律、法规和党的路线方针政策的错误观点和言论。未经批准，学生社团不得自行与校外任何单位、组织或个人签订任何形式的合约或协议。</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二十四</w:t>
      </w:r>
      <w:r>
        <w:rPr>
          <w:rFonts w:ascii="楷体" w:hAnsi="楷体" w:eastAsia="楷体" w:cs="Times New Roman"/>
          <w:bCs/>
          <w:sz w:val="32"/>
          <w:szCs w:val="32"/>
        </w:rPr>
        <w:t>条</w:t>
      </w:r>
      <w:r>
        <w:rPr>
          <w:rFonts w:hint="eastAsia" w:ascii="宋体" w:hAnsi="宋体" w:eastAsia="仿宋_GB2312" w:cs="Times New Roman"/>
          <w:b/>
          <w:bCs/>
          <w:sz w:val="32"/>
          <w:szCs w:val="32"/>
        </w:rPr>
        <w:t xml:space="preserve"> </w:t>
      </w:r>
      <w:r>
        <w:rPr>
          <w:rFonts w:ascii="宋体" w:hAnsi="宋体" w:eastAsia="仿宋_GB2312" w:cs="Times New Roman"/>
          <w:sz w:val="32"/>
          <w:szCs w:val="32"/>
        </w:rPr>
        <w:t>学生社团建立网站、新媒体平台及印发刊物等须经指导教师初审，业务指导单位把关</w:t>
      </w:r>
      <w:r>
        <w:rPr>
          <w:rFonts w:hint="eastAsia" w:ascii="宋体" w:hAnsi="宋体" w:eastAsia="仿宋_GB2312" w:cs="Times New Roman"/>
          <w:sz w:val="32"/>
          <w:szCs w:val="32"/>
        </w:rPr>
        <w:t>，报党委宣传部审批，交</w:t>
      </w:r>
      <w:r>
        <w:rPr>
          <w:rFonts w:ascii="宋体" w:hAnsi="宋体" w:eastAsia="仿宋_GB2312" w:cs="Times New Roman"/>
          <w:sz w:val="32"/>
          <w:szCs w:val="32"/>
        </w:rPr>
        <w:t>党委</w:t>
      </w:r>
      <w:r>
        <w:rPr>
          <w:rFonts w:hint="eastAsia" w:ascii="宋体" w:hAnsi="宋体" w:eastAsia="仿宋_GB2312" w:cs="Times New Roman"/>
          <w:sz w:val="32"/>
          <w:szCs w:val="32"/>
        </w:rPr>
        <w:t>学生工作部、校团委</w:t>
      </w:r>
      <w:r>
        <w:rPr>
          <w:rFonts w:ascii="宋体" w:hAnsi="宋体" w:eastAsia="仿宋_GB2312" w:cs="Times New Roman"/>
          <w:sz w:val="32"/>
          <w:szCs w:val="32"/>
        </w:rPr>
        <w:t>备案。建立内容把关机制,确保发布内容积极健康。学生社团开展线上线下宣传、发布活动信息须经指导教师</w:t>
      </w:r>
      <w:r>
        <w:rPr>
          <w:rFonts w:hint="eastAsia" w:ascii="宋体" w:hAnsi="宋体" w:eastAsia="仿宋_GB2312" w:cs="Times New Roman"/>
          <w:sz w:val="32"/>
          <w:szCs w:val="32"/>
        </w:rPr>
        <w:t>及相关部门</w:t>
      </w:r>
      <w:r>
        <w:rPr>
          <w:rFonts w:ascii="宋体" w:hAnsi="宋体" w:eastAsia="仿宋_GB2312" w:cs="Times New Roman"/>
          <w:sz w:val="32"/>
          <w:szCs w:val="32"/>
        </w:rPr>
        <w:t>审核</w:t>
      </w:r>
      <w:r>
        <w:rPr>
          <w:rFonts w:hint="eastAsia" w:ascii="宋体" w:hAnsi="宋体" w:eastAsia="仿宋_GB2312" w:cs="Times New Roman"/>
          <w:sz w:val="32"/>
          <w:szCs w:val="32"/>
        </w:rPr>
        <w:t>通过</w:t>
      </w:r>
      <w:r>
        <w:rPr>
          <w:rFonts w:ascii="宋体" w:hAnsi="宋体" w:eastAsia="仿宋_GB2312" w:cs="Times New Roman"/>
          <w:sz w:val="32"/>
          <w:szCs w:val="32"/>
        </w:rPr>
        <w:t>。</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二十五</w:t>
      </w:r>
      <w:r>
        <w:rPr>
          <w:rFonts w:ascii="楷体" w:hAnsi="楷体" w:eastAsia="楷体" w:cs="Times New Roman"/>
          <w:bCs/>
          <w:sz w:val="32"/>
          <w:szCs w:val="32"/>
        </w:rPr>
        <w:t>条</w:t>
      </w:r>
      <w:r>
        <w:rPr>
          <w:rFonts w:hint="eastAsia" w:ascii="宋体" w:hAnsi="宋体" w:eastAsia="仿宋_GB2312" w:cs="Times New Roman"/>
          <w:b/>
          <w:bCs/>
          <w:sz w:val="32"/>
          <w:szCs w:val="32"/>
        </w:rPr>
        <w:t xml:space="preserve"> </w:t>
      </w:r>
      <w:r>
        <w:rPr>
          <w:rFonts w:ascii="宋体" w:hAnsi="宋体" w:eastAsia="仿宋_GB2312" w:cs="Times New Roman"/>
          <w:sz w:val="32"/>
          <w:szCs w:val="32"/>
        </w:rPr>
        <w:t>党委学生工作部</w:t>
      </w:r>
      <w:r>
        <w:rPr>
          <w:rFonts w:hint="eastAsia" w:ascii="宋体" w:hAnsi="宋体" w:eastAsia="仿宋_GB2312" w:cs="Times New Roman"/>
          <w:sz w:val="32"/>
          <w:szCs w:val="32"/>
        </w:rPr>
        <w:t>应</w:t>
      </w:r>
      <w:r>
        <w:rPr>
          <w:rFonts w:ascii="宋体" w:hAnsi="宋体" w:eastAsia="仿宋_GB2312" w:cs="Times New Roman"/>
          <w:sz w:val="32"/>
          <w:szCs w:val="32"/>
        </w:rPr>
        <w:t>会同</w:t>
      </w:r>
      <w:r>
        <w:rPr>
          <w:rFonts w:hint="eastAsia" w:ascii="宋体" w:hAnsi="宋体" w:eastAsia="仿宋_GB2312" w:cs="Times New Roman"/>
          <w:sz w:val="32"/>
          <w:szCs w:val="32"/>
        </w:rPr>
        <w:t>校</w:t>
      </w:r>
      <w:r>
        <w:rPr>
          <w:rFonts w:ascii="宋体" w:hAnsi="宋体" w:eastAsia="仿宋_GB2312" w:cs="Times New Roman"/>
          <w:sz w:val="32"/>
          <w:szCs w:val="32"/>
        </w:rPr>
        <w:t>团委等相关部门加强学生社团及其成员开展活动的规范管理和分类指导。发现违反法律法规或校纪校规的活动,要坚决及时制止。对违反法律法规或校纪校规的学生社团,要视情节严重,按程序对相关责任人给予纪律处分。在校期间受到校纪校规处分的、曾因违反有关规定被撤销社团职务的、对社团被宣布解散或注销应当承担主要责任的学生不得再担任社团负责人。</w:t>
      </w:r>
    </w:p>
    <w:p>
      <w:pPr>
        <w:spacing w:line="540" w:lineRule="exact"/>
        <w:ind w:firstLine="640" w:firstLineChars="200"/>
        <w:rPr>
          <w:rFonts w:ascii="宋体" w:hAnsi="宋体" w:eastAsia="仿宋_GB2312" w:cs="Times New Roman"/>
          <w:sz w:val="32"/>
          <w:szCs w:val="32"/>
        </w:rPr>
      </w:pPr>
    </w:p>
    <w:p>
      <w:pPr>
        <w:widowControl/>
        <w:spacing w:line="540" w:lineRule="exact"/>
        <w:jc w:val="center"/>
        <w:rPr>
          <w:rFonts w:ascii="宋体" w:hAnsi="宋体" w:eastAsia="黑体" w:cs="黑体"/>
          <w:bCs/>
          <w:sz w:val="32"/>
          <w:szCs w:val="32"/>
        </w:rPr>
      </w:pPr>
      <w:r>
        <w:rPr>
          <w:rFonts w:hint="eastAsia" w:ascii="宋体" w:hAnsi="宋体" w:eastAsia="黑体" w:cs="黑体"/>
          <w:bCs/>
          <w:kern w:val="0"/>
          <w:sz w:val="32"/>
          <w:szCs w:val="32"/>
          <w:lang w:bidi="ar"/>
        </w:rPr>
        <w:t>第六章 强化领导</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第二十六条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学校党委每年至少一次听取学生社团工作汇报，专题研究解决相关重要问题。明确学校分管学生工作的同志分管学生社团工作</w:t>
      </w:r>
      <w:r>
        <w:rPr>
          <w:rFonts w:ascii="宋体" w:hAnsi="宋体" w:eastAsia="仿宋_GB2312" w:cs="Times New Roman"/>
          <w:sz w:val="32"/>
          <w:szCs w:val="32"/>
        </w:rPr>
        <w:t>,分管人事、教学的同志要参与学生社团指导教师选聘考核、社团骨干学习指导等管理工作。</w:t>
      </w:r>
      <w:r>
        <w:rPr>
          <w:rFonts w:hint="eastAsia" w:ascii="宋体" w:hAnsi="宋体" w:eastAsia="仿宋_GB2312" w:cs="Times New Roman"/>
          <w:sz w:val="32"/>
          <w:szCs w:val="32"/>
        </w:rPr>
        <w:t>各基层党委要压实主体责任,把学生社团工作纳入思想政治工作和群团工作整体格局进行谋划部署。</w:t>
      </w:r>
    </w:p>
    <w:p>
      <w:pPr>
        <w:spacing w:line="540" w:lineRule="exact"/>
        <w:ind w:firstLine="640" w:firstLineChars="200"/>
        <w:rPr>
          <w:rFonts w:ascii="宋体" w:hAnsi="宋体" w:eastAsia="仿宋_GB2312" w:cs="Times New Roman"/>
          <w:b/>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二十七</w:t>
      </w:r>
      <w:r>
        <w:rPr>
          <w:rFonts w:ascii="楷体" w:hAnsi="楷体" w:eastAsia="楷体" w:cs="Times New Roman"/>
          <w:bCs/>
          <w:sz w:val="32"/>
          <w:szCs w:val="32"/>
        </w:rPr>
        <w:t>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构建学校党委统一领导,党委学生工作部牵头负责,校团委、组织部、宣传部、保卫处、人事处、教务处等相关职能部门共同参与的学生社团工作机制。党委学生工作部要切实承担起</w:t>
      </w:r>
      <w:r>
        <w:rPr>
          <w:rFonts w:ascii="宋体" w:hAnsi="宋体" w:eastAsia="仿宋_GB2312" w:cs="Times New Roman"/>
          <w:sz w:val="32"/>
          <w:szCs w:val="32"/>
        </w:rPr>
        <w:t>学生社团建设发展、统筹管理的相关职</w:t>
      </w:r>
      <w:r>
        <w:rPr>
          <w:rFonts w:hint="eastAsia" w:ascii="宋体" w:hAnsi="宋体" w:eastAsia="仿宋_GB2312" w:cs="Times New Roman"/>
          <w:sz w:val="32"/>
          <w:szCs w:val="32"/>
        </w:rPr>
        <w:t>责</w:t>
      </w:r>
      <w:r>
        <w:rPr>
          <w:rFonts w:ascii="宋体" w:hAnsi="宋体" w:eastAsia="仿宋_GB2312" w:cs="Times New Roman"/>
          <w:sz w:val="32"/>
          <w:szCs w:val="32"/>
        </w:rPr>
        <w:t>,对全校学生社团建设发展进行研究规划,制度性研究学生社团注册登记及年审、骨干遴选及考核等重要工作和重大事项，切实将党的领导落在实处。</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第二十八条</w:t>
      </w:r>
      <w:r>
        <w:rPr>
          <w:rFonts w:hint="eastAsia" w:ascii="宋体" w:hAnsi="宋体" w:eastAsia="仿宋_GB2312" w:cs="Times New Roman"/>
          <w:b/>
          <w:sz w:val="32"/>
          <w:szCs w:val="32"/>
        </w:rPr>
        <w:t xml:space="preserve"> </w:t>
      </w:r>
      <w:r>
        <w:rPr>
          <w:rFonts w:ascii="宋体" w:hAnsi="宋体" w:eastAsia="仿宋_GB2312" w:cs="Times New Roman"/>
          <w:sz w:val="32"/>
          <w:szCs w:val="32"/>
        </w:rPr>
        <w:t>加强党建带团建,把党建、团建与学生会建设、社团建设有机结合起来。校团委要加强对全校学生社团的具体指导,成立学生社团管理部门,配备专职工作人员,做好学生社团建设管理评议委员会日常工作和社团建设管理具体事务等。</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第二十九条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业务</w:t>
      </w:r>
      <w:r>
        <w:rPr>
          <w:rFonts w:ascii="宋体" w:hAnsi="宋体" w:eastAsia="仿宋_GB2312" w:cs="Times New Roman"/>
          <w:sz w:val="32"/>
          <w:szCs w:val="32"/>
        </w:rPr>
        <w:t>指导单位承担学生社团健康发展的主体责任,担负对所负责学生社团日常活动的监督指导和社团成员的教育管理职责,负责指导教师工作情况评价认定等。</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三十</w:t>
      </w:r>
      <w:r>
        <w:rPr>
          <w:rFonts w:ascii="楷体" w:hAnsi="楷体" w:eastAsia="楷体" w:cs="Times New Roman"/>
          <w:bCs/>
          <w:sz w:val="32"/>
          <w:szCs w:val="32"/>
        </w:rPr>
        <w:t>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鼓励学生社团健康有序发展,在经费、场地、设备、条件、制度等方面给予充分保障,按照平均每年每生不低于30元的标准设立学生社团活动专项经费,支持学生社团活动正常开展,并保证专款专用。</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三十一</w:t>
      </w:r>
      <w:r>
        <w:rPr>
          <w:rFonts w:ascii="楷体" w:hAnsi="楷体" w:eastAsia="楷体" w:cs="Times New Roman"/>
          <w:bCs/>
          <w:sz w:val="32"/>
          <w:szCs w:val="32"/>
        </w:rPr>
        <w:t>条</w:t>
      </w:r>
      <w:r>
        <w:rPr>
          <w:rFonts w:hint="eastAsia" w:ascii="宋体" w:hAnsi="宋体" w:eastAsia="仿宋_GB2312" w:cs="Times New Roman"/>
          <w:b/>
          <w:sz w:val="32"/>
          <w:szCs w:val="32"/>
        </w:rPr>
        <w:t xml:space="preserve"> </w:t>
      </w:r>
      <w:r>
        <w:rPr>
          <w:rFonts w:ascii="宋体" w:hAnsi="宋体" w:eastAsia="仿宋_GB2312" w:cs="Times New Roman"/>
          <w:sz w:val="32"/>
          <w:szCs w:val="32"/>
        </w:rPr>
        <w:t>学生社团原则上不接受校外资助,不收取成员会费。确有资助需要的,要加强对资助事宜的合法合规性审核,并将各项资助经费纳入学校财务统一管理。学生社团解散或注销后的剩余财产,按照学校有关规定执行。</w:t>
      </w:r>
    </w:p>
    <w:p>
      <w:pPr>
        <w:spacing w:line="540" w:lineRule="exact"/>
        <w:ind w:firstLine="640" w:firstLineChars="200"/>
        <w:rPr>
          <w:rFonts w:ascii="宋体" w:hAnsi="宋体" w:eastAsia="仿宋_GB2312" w:cs="Times New Roman"/>
          <w:sz w:val="32"/>
          <w:szCs w:val="32"/>
        </w:rPr>
      </w:pPr>
      <w:r>
        <w:rPr>
          <w:rFonts w:ascii="楷体" w:hAnsi="楷体" w:eastAsia="楷体" w:cs="Times New Roman"/>
          <w:bCs/>
          <w:sz w:val="32"/>
          <w:szCs w:val="32"/>
        </w:rPr>
        <w:t>第</w:t>
      </w:r>
      <w:r>
        <w:rPr>
          <w:rFonts w:hint="eastAsia" w:ascii="楷体" w:hAnsi="楷体" w:eastAsia="楷体" w:cs="Times New Roman"/>
          <w:bCs/>
          <w:sz w:val="32"/>
          <w:szCs w:val="32"/>
        </w:rPr>
        <w:t>三十二</w:t>
      </w:r>
      <w:r>
        <w:rPr>
          <w:rFonts w:ascii="楷体" w:hAnsi="楷体" w:eastAsia="楷体" w:cs="Times New Roman"/>
          <w:bCs/>
          <w:sz w:val="32"/>
          <w:szCs w:val="32"/>
        </w:rPr>
        <w:t>条</w:t>
      </w:r>
      <w:r>
        <w:rPr>
          <w:rFonts w:hint="eastAsia" w:ascii="宋体" w:hAnsi="宋体" w:eastAsia="仿宋_GB2312" w:cs="Times New Roman"/>
          <w:b/>
          <w:sz w:val="32"/>
          <w:szCs w:val="32"/>
        </w:rPr>
        <w:t xml:space="preserve"> </w:t>
      </w:r>
      <w:r>
        <w:rPr>
          <w:rFonts w:ascii="宋体" w:hAnsi="宋体" w:eastAsia="仿宋_GB2312" w:cs="Times New Roman"/>
          <w:sz w:val="32"/>
          <w:szCs w:val="32"/>
        </w:rPr>
        <w:t>建立倒查问责机制,对学生社团管理出现重大问题的业务指导单位,要按照全面从严治党要求依规依纪进行严肃追责问责</w:t>
      </w:r>
      <w:r>
        <w:rPr>
          <w:rFonts w:hint="eastAsia" w:ascii="宋体" w:hAnsi="宋体" w:eastAsia="仿宋_GB2312" w:cs="Times New Roman"/>
          <w:sz w:val="32"/>
          <w:szCs w:val="32"/>
        </w:rPr>
        <w:t>。</w:t>
      </w:r>
    </w:p>
    <w:p>
      <w:pPr>
        <w:widowControl/>
        <w:spacing w:line="540" w:lineRule="exact"/>
        <w:jc w:val="center"/>
        <w:rPr>
          <w:rFonts w:ascii="宋体" w:hAnsi="宋体" w:eastAsia="黑体" w:cs="黑体"/>
          <w:bCs/>
          <w:sz w:val="32"/>
          <w:szCs w:val="32"/>
        </w:rPr>
      </w:pPr>
      <w:r>
        <w:rPr>
          <w:rFonts w:hint="eastAsia" w:ascii="宋体" w:hAnsi="宋体" w:eastAsia="黑体" w:cs="黑体"/>
          <w:bCs/>
          <w:kern w:val="0"/>
          <w:sz w:val="32"/>
          <w:szCs w:val="32"/>
          <w:lang w:bidi="ar"/>
        </w:rPr>
        <w:t xml:space="preserve">第七章 附 </w:t>
      </w:r>
      <w:r>
        <w:rPr>
          <w:rFonts w:ascii="宋体" w:hAnsi="宋体" w:eastAsia="黑体" w:cs="黑体"/>
          <w:bCs/>
          <w:kern w:val="0"/>
          <w:sz w:val="32"/>
          <w:szCs w:val="32"/>
          <w:lang w:bidi="ar"/>
        </w:rPr>
        <w:t xml:space="preserve"> </w:t>
      </w:r>
      <w:r>
        <w:rPr>
          <w:rFonts w:hint="eastAsia" w:ascii="宋体" w:hAnsi="宋体" w:eastAsia="黑体" w:cs="黑体"/>
          <w:bCs/>
          <w:kern w:val="0"/>
          <w:sz w:val="32"/>
          <w:szCs w:val="32"/>
          <w:lang w:bidi="ar"/>
        </w:rPr>
        <w:t>则</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第三十三条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本管理办法适用于三明学院各类学生社团。</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第三十四条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本管理办法的最终解释权归党委学生工作部、校团委所有。</w:t>
      </w:r>
    </w:p>
    <w:p>
      <w:pPr>
        <w:spacing w:line="540" w:lineRule="exact"/>
        <w:ind w:firstLine="640" w:firstLineChars="200"/>
        <w:rPr>
          <w:rFonts w:ascii="宋体" w:hAnsi="宋体" w:eastAsia="仿宋_GB2312" w:cs="Times New Roman"/>
          <w:sz w:val="32"/>
          <w:szCs w:val="32"/>
        </w:rPr>
      </w:pPr>
      <w:r>
        <w:rPr>
          <w:rFonts w:hint="eastAsia" w:ascii="楷体" w:hAnsi="楷体" w:eastAsia="楷体" w:cs="Times New Roman"/>
          <w:bCs/>
          <w:sz w:val="32"/>
          <w:szCs w:val="32"/>
        </w:rPr>
        <w:t>第三十五条</w:t>
      </w:r>
      <w:r>
        <w:rPr>
          <w:rFonts w:hint="eastAsia" w:ascii="宋体" w:hAnsi="宋体" w:eastAsia="仿宋_GB2312" w:cs="Times New Roman"/>
          <w:b/>
          <w:sz w:val="32"/>
          <w:szCs w:val="32"/>
        </w:rPr>
        <w:t xml:space="preserve"> </w:t>
      </w:r>
      <w:r>
        <w:rPr>
          <w:rFonts w:hint="eastAsia" w:ascii="宋体" w:hAnsi="宋体" w:eastAsia="仿宋_GB2312" w:cs="Times New Roman"/>
          <w:sz w:val="32"/>
          <w:szCs w:val="32"/>
        </w:rPr>
        <w:t>本办法自2020年</w:t>
      </w:r>
      <w:r>
        <w:rPr>
          <w:rFonts w:ascii="宋体" w:hAnsi="宋体" w:eastAsia="仿宋_GB2312" w:cs="Times New Roman"/>
          <w:sz w:val="32"/>
          <w:szCs w:val="32"/>
        </w:rPr>
        <w:t>5</w:t>
      </w:r>
      <w:r>
        <w:rPr>
          <w:rFonts w:hint="eastAsia" w:ascii="宋体" w:hAnsi="宋体" w:eastAsia="仿宋_GB2312" w:cs="Times New Roman"/>
          <w:sz w:val="32"/>
          <w:szCs w:val="32"/>
        </w:rPr>
        <w:t>月1日起施行。凡以前规定和本管理办法有不一致的，以本办法为准。</w:t>
      </w: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p>
      <w:pPr>
        <w:spacing w:line="540" w:lineRule="exact"/>
        <w:ind w:firstLine="640" w:firstLineChars="200"/>
        <w:rPr>
          <w:rFonts w:ascii="宋体" w:hAnsi="宋体" w:eastAsia="仿宋_GB2312" w:cs="Times New Roman"/>
          <w:sz w:val="32"/>
          <w:szCs w:val="32"/>
        </w:rPr>
      </w:pPr>
    </w:p>
    <w:tbl>
      <w:tblPr>
        <w:tblStyle w:val="11"/>
        <w:tblpPr w:leftFromText="181" w:rightFromText="181" w:vertAnchor="page" w:horzAnchor="page" w:tblpX="1563" w:tblpY="14132"/>
        <w:tblOverlap w:val="never"/>
        <w:tblW w:w="888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6" w:space="0"/>
        </w:tblBorders>
        <w:tblLayout w:type="autofit"/>
        <w:tblCellMar>
          <w:top w:w="0" w:type="dxa"/>
          <w:left w:w="28" w:type="dxa"/>
          <w:bottom w:w="0" w:type="dxa"/>
          <w:right w:w="28" w:type="dxa"/>
        </w:tblCellMar>
      </w:tblPr>
      <w:tblGrid>
        <w:gridCol w:w="8880"/>
      </w:tblGrid>
      <w:tr>
        <w:tblPrEx>
          <w:tblBorders>
            <w:top w:val="single" w:color="auto" w:sz="8" w:space="0"/>
            <w:left w:val="none" w:color="auto" w:sz="0" w:space="0"/>
            <w:bottom w:val="single" w:color="auto" w:sz="8" w:space="0"/>
            <w:right w:val="none" w:color="auto" w:sz="0" w:space="0"/>
            <w:insideH w:val="single" w:color="auto" w:sz="4" w:space="0"/>
            <w:insideV w:val="single" w:color="auto" w:sz="6" w:space="0"/>
          </w:tblBorders>
          <w:tblCellMar>
            <w:top w:w="0" w:type="dxa"/>
            <w:left w:w="28" w:type="dxa"/>
            <w:bottom w:w="0" w:type="dxa"/>
            <w:right w:w="28" w:type="dxa"/>
          </w:tblCellMar>
        </w:tblPrEx>
        <w:tc>
          <w:tcPr>
            <w:tcW w:w="8880" w:type="dxa"/>
            <w:tcBorders>
              <w:top w:val="single" w:color="auto" w:sz="6" w:space="0"/>
              <w:bottom w:val="single" w:color="auto" w:sz="8" w:space="0"/>
            </w:tcBorders>
            <w:shd w:val="clear" w:color="auto" w:fill="auto"/>
          </w:tcPr>
          <w:p>
            <w:pPr>
              <w:spacing w:line="600" w:lineRule="exact"/>
              <w:jc w:val="center"/>
              <w:rPr>
                <w:rFonts w:ascii="宋体" w:hAnsi="宋体" w:eastAsia="仿宋_GB2312"/>
                <w:sz w:val="30"/>
                <w:szCs w:val="30"/>
              </w:rPr>
            </w:pPr>
            <w:r>
              <w:rPr>
                <w:rFonts w:hint="eastAsia" w:ascii="宋体" w:hAnsi="宋体" w:eastAsia="仿宋_GB2312"/>
                <w:sz w:val="30"/>
                <w:szCs w:val="30"/>
              </w:rPr>
              <w:t>三明学院党政办公室                   2020年</w:t>
            </w:r>
            <w:r>
              <w:rPr>
                <w:rFonts w:ascii="宋体" w:hAnsi="宋体" w:eastAsia="仿宋_GB2312"/>
                <w:spacing w:val="12"/>
                <w:sz w:val="30"/>
                <w:szCs w:val="30"/>
              </w:rPr>
              <w:t>5</w:t>
            </w:r>
            <w:r>
              <w:rPr>
                <w:rFonts w:hint="eastAsia" w:ascii="宋体" w:hAnsi="宋体" w:eastAsia="仿宋_GB2312"/>
                <w:sz w:val="30"/>
                <w:szCs w:val="30"/>
              </w:rPr>
              <w:t>月</w:t>
            </w:r>
            <w:r>
              <w:rPr>
                <w:rFonts w:ascii="宋体" w:hAnsi="宋体" w:eastAsia="仿宋_GB2312"/>
                <w:spacing w:val="12"/>
                <w:sz w:val="30"/>
                <w:szCs w:val="30"/>
              </w:rPr>
              <w:t>9</w:t>
            </w:r>
            <w:r>
              <w:rPr>
                <w:rFonts w:hint="eastAsia" w:ascii="宋体" w:hAnsi="宋体" w:eastAsia="仿宋_GB2312"/>
                <w:sz w:val="30"/>
                <w:szCs w:val="30"/>
              </w:rPr>
              <w:t>日印发</w:t>
            </w:r>
          </w:p>
        </w:tc>
      </w:tr>
    </w:tbl>
    <w:p>
      <w:pPr>
        <w:spacing w:line="540" w:lineRule="exact"/>
        <w:ind w:firstLine="640" w:firstLineChars="200"/>
        <w:rPr>
          <w:rFonts w:ascii="宋体" w:hAnsi="宋体" w:eastAsia="仿宋_GB2312" w:cs="Times New Roman"/>
          <w:sz w:val="32"/>
          <w:szCs w:val="32"/>
        </w:rPr>
      </w:pPr>
      <w:bookmarkStart w:id="3" w:name="_GoBack"/>
      <w:bookmarkEnd w:id="3"/>
    </w:p>
    <w:sectPr>
      <w:headerReference r:id="rId3" w:type="default"/>
      <w:footerReference r:id="rId4" w:type="default"/>
      <w:footerReference r:id="rId5" w:type="even"/>
      <w:pgSz w:w="11906" w:h="16838"/>
      <w:pgMar w:top="2098" w:right="1474" w:bottom="1985"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erif CJK SC">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1"/>
      </w:numPr>
      <w:jc w:val="right"/>
    </w:pPr>
    <w:sdt>
      <w:sdtPr>
        <w:rPr>
          <w:rFonts w:ascii="宋体" w:hAnsi="宋体" w:eastAsia="宋体"/>
          <w:sz w:val="28"/>
        </w:rPr>
        <w:id w:val="-1425865862"/>
        <w:docPartObj>
          <w:docPartGallery w:val="AutoText"/>
        </w:docPartObj>
      </w:sdtPr>
      <w:sdtEndPr>
        <w:rPr>
          <w:rFonts w:asciiTheme="minorHAnsi" w:hAnsiTheme="minorHAnsi" w:eastAsiaTheme="minorEastAsia"/>
          <w:sz w:val="18"/>
        </w:rPr>
      </w:sdtEndPr>
      <w:sdtContent>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2</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sdtContent>
    </w:sdt>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651672"/>
      <w:docPartObj>
        <w:docPartGallery w:val="AutoText"/>
      </w:docPartObj>
    </w:sdtPr>
    <w:sdtContent>
      <w:p>
        <w:pPr>
          <w:pStyle w:val="7"/>
          <w:numPr>
            <w:ilvl w:val="0"/>
            <w:numId w:val="2"/>
          </w:num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2</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9F8"/>
    <w:multiLevelType w:val="multilevel"/>
    <w:tmpl w:val="270069F8"/>
    <w:lvl w:ilvl="0" w:tentative="0">
      <w:start w:val="1"/>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1F506FD"/>
    <w:multiLevelType w:val="multilevel"/>
    <w:tmpl w:val="41F506FD"/>
    <w:lvl w:ilvl="0" w:tentative="0">
      <w:start w:val="1"/>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C77022"/>
    <w:rsid w:val="00014FF7"/>
    <w:rsid w:val="000275BD"/>
    <w:rsid w:val="000310E4"/>
    <w:rsid w:val="00032E78"/>
    <w:rsid w:val="00037EBD"/>
    <w:rsid w:val="00042033"/>
    <w:rsid w:val="000435FB"/>
    <w:rsid w:val="00045A74"/>
    <w:rsid w:val="000552E5"/>
    <w:rsid w:val="000579A5"/>
    <w:rsid w:val="000B2CEA"/>
    <w:rsid w:val="000C0240"/>
    <w:rsid w:val="000C0578"/>
    <w:rsid w:val="000C15F5"/>
    <w:rsid w:val="000D3F5B"/>
    <w:rsid w:val="000D7967"/>
    <w:rsid w:val="000E351F"/>
    <w:rsid w:val="000E4535"/>
    <w:rsid w:val="000F190A"/>
    <w:rsid w:val="00102F03"/>
    <w:rsid w:val="001035DE"/>
    <w:rsid w:val="00120115"/>
    <w:rsid w:val="00124451"/>
    <w:rsid w:val="00141824"/>
    <w:rsid w:val="001A040C"/>
    <w:rsid w:val="001A7254"/>
    <w:rsid w:val="001C2E8B"/>
    <w:rsid w:val="001C2EE8"/>
    <w:rsid w:val="001D0BD8"/>
    <w:rsid w:val="001D18D0"/>
    <w:rsid w:val="001D467E"/>
    <w:rsid w:val="001E5E6E"/>
    <w:rsid w:val="001E7DA2"/>
    <w:rsid w:val="001F64B2"/>
    <w:rsid w:val="0020263B"/>
    <w:rsid w:val="00213980"/>
    <w:rsid w:val="00227388"/>
    <w:rsid w:val="002326F4"/>
    <w:rsid w:val="00251F87"/>
    <w:rsid w:val="00265AEC"/>
    <w:rsid w:val="002A1579"/>
    <w:rsid w:val="002A187E"/>
    <w:rsid w:val="002A2263"/>
    <w:rsid w:val="002B3F39"/>
    <w:rsid w:val="002B4B26"/>
    <w:rsid w:val="002F7977"/>
    <w:rsid w:val="00314D26"/>
    <w:rsid w:val="00317FE7"/>
    <w:rsid w:val="00346018"/>
    <w:rsid w:val="00351758"/>
    <w:rsid w:val="0035626E"/>
    <w:rsid w:val="003762D6"/>
    <w:rsid w:val="00376DF1"/>
    <w:rsid w:val="00381EFC"/>
    <w:rsid w:val="00384FA5"/>
    <w:rsid w:val="00385157"/>
    <w:rsid w:val="003B42FA"/>
    <w:rsid w:val="003C5DF4"/>
    <w:rsid w:val="003C7541"/>
    <w:rsid w:val="003D15BA"/>
    <w:rsid w:val="003E1F41"/>
    <w:rsid w:val="003F4479"/>
    <w:rsid w:val="003F5111"/>
    <w:rsid w:val="00412963"/>
    <w:rsid w:val="004136F6"/>
    <w:rsid w:val="00434BED"/>
    <w:rsid w:val="00441B45"/>
    <w:rsid w:val="004477D4"/>
    <w:rsid w:val="00450A42"/>
    <w:rsid w:val="00450B29"/>
    <w:rsid w:val="00472306"/>
    <w:rsid w:val="00485FC4"/>
    <w:rsid w:val="0049371A"/>
    <w:rsid w:val="004A254F"/>
    <w:rsid w:val="004B52F6"/>
    <w:rsid w:val="004C0D6B"/>
    <w:rsid w:val="004C4612"/>
    <w:rsid w:val="004D52FD"/>
    <w:rsid w:val="004E372D"/>
    <w:rsid w:val="004E6B02"/>
    <w:rsid w:val="004E6E92"/>
    <w:rsid w:val="004F03BD"/>
    <w:rsid w:val="0050575D"/>
    <w:rsid w:val="00516E59"/>
    <w:rsid w:val="005270AE"/>
    <w:rsid w:val="00532300"/>
    <w:rsid w:val="00532518"/>
    <w:rsid w:val="00535DAC"/>
    <w:rsid w:val="0056696A"/>
    <w:rsid w:val="00566C41"/>
    <w:rsid w:val="005713AD"/>
    <w:rsid w:val="00572801"/>
    <w:rsid w:val="005768DE"/>
    <w:rsid w:val="00577BA5"/>
    <w:rsid w:val="0058320F"/>
    <w:rsid w:val="00590649"/>
    <w:rsid w:val="00590F57"/>
    <w:rsid w:val="005915B9"/>
    <w:rsid w:val="00597621"/>
    <w:rsid w:val="005A07D7"/>
    <w:rsid w:val="005A1A77"/>
    <w:rsid w:val="005B24A9"/>
    <w:rsid w:val="005B2859"/>
    <w:rsid w:val="005B3FB1"/>
    <w:rsid w:val="005C2F54"/>
    <w:rsid w:val="005F5016"/>
    <w:rsid w:val="0060100B"/>
    <w:rsid w:val="00617A93"/>
    <w:rsid w:val="006219B3"/>
    <w:rsid w:val="00623955"/>
    <w:rsid w:val="0064436F"/>
    <w:rsid w:val="0065076C"/>
    <w:rsid w:val="00651B6C"/>
    <w:rsid w:val="00663FFF"/>
    <w:rsid w:val="00665D3E"/>
    <w:rsid w:val="006674F8"/>
    <w:rsid w:val="00691E18"/>
    <w:rsid w:val="0069228D"/>
    <w:rsid w:val="0069482A"/>
    <w:rsid w:val="006978F0"/>
    <w:rsid w:val="006A3F54"/>
    <w:rsid w:val="006B05B8"/>
    <w:rsid w:val="006B415E"/>
    <w:rsid w:val="006B5264"/>
    <w:rsid w:val="006C304C"/>
    <w:rsid w:val="006C4D4A"/>
    <w:rsid w:val="006E61CC"/>
    <w:rsid w:val="006E71FB"/>
    <w:rsid w:val="006F7D1A"/>
    <w:rsid w:val="00704EB2"/>
    <w:rsid w:val="007316F7"/>
    <w:rsid w:val="00745EF8"/>
    <w:rsid w:val="00753DAC"/>
    <w:rsid w:val="00770F62"/>
    <w:rsid w:val="00775853"/>
    <w:rsid w:val="00791117"/>
    <w:rsid w:val="007A702E"/>
    <w:rsid w:val="007A7922"/>
    <w:rsid w:val="007B01B1"/>
    <w:rsid w:val="007B0FA5"/>
    <w:rsid w:val="007B36A8"/>
    <w:rsid w:val="007B3F76"/>
    <w:rsid w:val="007B4E9A"/>
    <w:rsid w:val="007D1671"/>
    <w:rsid w:val="007E0D5C"/>
    <w:rsid w:val="007F3902"/>
    <w:rsid w:val="0080075A"/>
    <w:rsid w:val="008048D3"/>
    <w:rsid w:val="008064BA"/>
    <w:rsid w:val="00812DD7"/>
    <w:rsid w:val="00815500"/>
    <w:rsid w:val="0081708E"/>
    <w:rsid w:val="00817DB4"/>
    <w:rsid w:val="0083610C"/>
    <w:rsid w:val="00850757"/>
    <w:rsid w:val="00852D58"/>
    <w:rsid w:val="00864ECA"/>
    <w:rsid w:val="00867434"/>
    <w:rsid w:val="008701C2"/>
    <w:rsid w:val="00872079"/>
    <w:rsid w:val="00895FF2"/>
    <w:rsid w:val="008B20EF"/>
    <w:rsid w:val="008B407D"/>
    <w:rsid w:val="008B61C0"/>
    <w:rsid w:val="008E0B77"/>
    <w:rsid w:val="008E7F9F"/>
    <w:rsid w:val="008F0FBC"/>
    <w:rsid w:val="008F15EC"/>
    <w:rsid w:val="008F1889"/>
    <w:rsid w:val="008F4B3C"/>
    <w:rsid w:val="008F4DDD"/>
    <w:rsid w:val="009026F5"/>
    <w:rsid w:val="00902971"/>
    <w:rsid w:val="00905806"/>
    <w:rsid w:val="00905F44"/>
    <w:rsid w:val="00906C5E"/>
    <w:rsid w:val="009569AD"/>
    <w:rsid w:val="0096789A"/>
    <w:rsid w:val="009761F3"/>
    <w:rsid w:val="00976230"/>
    <w:rsid w:val="00982D15"/>
    <w:rsid w:val="00983384"/>
    <w:rsid w:val="0099100D"/>
    <w:rsid w:val="009A05AD"/>
    <w:rsid w:val="009A2EA2"/>
    <w:rsid w:val="009A3AEF"/>
    <w:rsid w:val="009A51F0"/>
    <w:rsid w:val="009D3FB4"/>
    <w:rsid w:val="009E0EBA"/>
    <w:rsid w:val="009E25EA"/>
    <w:rsid w:val="00A04359"/>
    <w:rsid w:val="00A205B9"/>
    <w:rsid w:val="00A2185F"/>
    <w:rsid w:val="00A23DA9"/>
    <w:rsid w:val="00A3011C"/>
    <w:rsid w:val="00A37C99"/>
    <w:rsid w:val="00A41CA6"/>
    <w:rsid w:val="00A4323A"/>
    <w:rsid w:val="00A45308"/>
    <w:rsid w:val="00A53B26"/>
    <w:rsid w:val="00A64454"/>
    <w:rsid w:val="00A6451B"/>
    <w:rsid w:val="00A74417"/>
    <w:rsid w:val="00A8228A"/>
    <w:rsid w:val="00A8493D"/>
    <w:rsid w:val="00AC2652"/>
    <w:rsid w:val="00AE13C2"/>
    <w:rsid w:val="00B1020B"/>
    <w:rsid w:val="00B159B1"/>
    <w:rsid w:val="00B1611F"/>
    <w:rsid w:val="00B41B71"/>
    <w:rsid w:val="00B46500"/>
    <w:rsid w:val="00B927AA"/>
    <w:rsid w:val="00B93FC7"/>
    <w:rsid w:val="00BA7A15"/>
    <w:rsid w:val="00BB590F"/>
    <w:rsid w:val="00BC1592"/>
    <w:rsid w:val="00BC616B"/>
    <w:rsid w:val="00BD032F"/>
    <w:rsid w:val="00BE50EF"/>
    <w:rsid w:val="00BE682E"/>
    <w:rsid w:val="00BF3EE7"/>
    <w:rsid w:val="00C0435A"/>
    <w:rsid w:val="00C07CD8"/>
    <w:rsid w:val="00C229EB"/>
    <w:rsid w:val="00C2741A"/>
    <w:rsid w:val="00C34D9A"/>
    <w:rsid w:val="00C41C6B"/>
    <w:rsid w:val="00C55587"/>
    <w:rsid w:val="00C62C49"/>
    <w:rsid w:val="00C8176B"/>
    <w:rsid w:val="00C847B2"/>
    <w:rsid w:val="00C8693A"/>
    <w:rsid w:val="00C92E1C"/>
    <w:rsid w:val="00C937E4"/>
    <w:rsid w:val="00C95CEF"/>
    <w:rsid w:val="00CA00B5"/>
    <w:rsid w:val="00CB7A79"/>
    <w:rsid w:val="00CC08B9"/>
    <w:rsid w:val="00CC7612"/>
    <w:rsid w:val="00CC79D0"/>
    <w:rsid w:val="00CD0B51"/>
    <w:rsid w:val="00CD1CA7"/>
    <w:rsid w:val="00CE0907"/>
    <w:rsid w:val="00CE7A47"/>
    <w:rsid w:val="00CF04E8"/>
    <w:rsid w:val="00CF1AAF"/>
    <w:rsid w:val="00CF3A12"/>
    <w:rsid w:val="00CF4E9F"/>
    <w:rsid w:val="00D06100"/>
    <w:rsid w:val="00D1222E"/>
    <w:rsid w:val="00D13D7E"/>
    <w:rsid w:val="00D20E0A"/>
    <w:rsid w:val="00D44041"/>
    <w:rsid w:val="00D653BC"/>
    <w:rsid w:val="00D707E5"/>
    <w:rsid w:val="00D85E0F"/>
    <w:rsid w:val="00D87FC7"/>
    <w:rsid w:val="00DA094F"/>
    <w:rsid w:val="00DA1158"/>
    <w:rsid w:val="00DB02C9"/>
    <w:rsid w:val="00DC07B5"/>
    <w:rsid w:val="00DD2467"/>
    <w:rsid w:val="00DE2965"/>
    <w:rsid w:val="00E020D6"/>
    <w:rsid w:val="00E25597"/>
    <w:rsid w:val="00E30E2A"/>
    <w:rsid w:val="00E44847"/>
    <w:rsid w:val="00E45AE5"/>
    <w:rsid w:val="00E6070E"/>
    <w:rsid w:val="00E72710"/>
    <w:rsid w:val="00E72816"/>
    <w:rsid w:val="00E72864"/>
    <w:rsid w:val="00E73521"/>
    <w:rsid w:val="00E73BE6"/>
    <w:rsid w:val="00E77F25"/>
    <w:rsid w:val="00E80130"/>
    <w:rsid w:val="00E905E6"/>
    <w:rsid w:val="00E9560C"/>
    <w:rsid w:val="00EA0C9F"/>
    <w:rsid w:val="00EA5101"/>
    <w:rsid w:val="00EB2D18"/>
    <w:rsid w:val="00EC6020"/>
    <w:rsid w:val="00ED1700"/>
    <w:rsid w:val="00EF1B17"/>
    <w:rsid w:val="00EF43C7"/>
    <w:rsid w:val="00F151B5"/>
    <w:rsid w:val="00F2064B"/>
    <w:rsid w:val="00F712F9"/>
    <w:rsid w:val="00F746AE"/>
    <w:rsid w:val="00F83AFB"/>
    <w:rsid w:val="00F86273"/>
    <w:rsid w:val="00F8691D"/>
    <w:rsid w:val="00F925D1"/>
    <w:rsid w:val="00FE1F2B"/>
    <w:rsid w:val="00FE336E"/>
    <w:rsid w:val="13FA442A"/>
    <w:rsid w:val="239F1280"/>
    <w:rsid w:val="317C3098"/>
    <w:rsid w:val="63C770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uiPriority w:val="0"/>
    <w:pPr>
      <w:jc w:val="left"/>
    </w:pPr>
  </w:style>
  <w:style w:type="paragraph" w:styleId="4">
    <w:name w:val="Plain Text"/>
    <w:basedOn w:val="1"/>
    <w:link w:val="29"/>
    <w:semiHidden/>
    <w:unhideWhenUsed/>
    <w:qFormat/>
    <w:uiPriority w:val="0"/>
    <w:rPr>
      <w:rFonts w:hAnsi="Courier New" w:cs="Courier New" w:asciiTheme="minorEastAsia"/>
    </w:rPr>
  </w:style>
  <w:style w:type="paragraph" w:styleId="5">
    <w:name w:val="Date"/>
    <w:basedOn w:val="1"/>
    <w:next w:val="1"/>
    <w:link w:val="30"/>
    <w:qFormat/>
    <w:uiPriority w:val="0"/>
    <w:pPr>
      <w:ind w:left="100" w:leftChars="2500"/>
    </w:pPr>
  </w:style>
  <w:style w:type="paragraph" w:styleId="6">
    <w:name w:val="Balloon Text"/>
    <w:basedOn w:val="1"/>
    <w:link w:val="27"/>
    <w:semiHidden/>
    <w:unhideWhenUsed/>
    <w:qFormat/>
    <w:uiPriority w:val="0"/>
    <w:rPr>
      <w:sz w:val="18"/>
      <w:szCs w:val="18"/>
    </w:rPr>
  </w:style>
  <w:style w:type="paragraph" w:styleId="7">
    <w:name w:val="footer"/>
    <w:basedOn w:val="1"/>
    <w:link w:val="20"/>
    <w:uiPriority w:val="99"/>
    <w:pPr>
      <w:tabs>
        <w:tab w:val="center" w:pos="4153"/>
        <w:tab w:val="right" w:pos="8306"/>
      </w:tabs>
      <w:snapToGrid w:val="0"/>
      <w:jc w:val="left"/>
    </w:pPr>
    <w:rPr>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3"/>
    <w:semiHidden/>
    <w:unhideWhenUsed/>
    <w:uiPriority w:val="0"/>
    <w:pPr>
      <w:snapToGrid w:val="0"/>
      <w:jc w:val="left"/>
    </w:pPr>
    <w:rPr>
      <w:sz w:val="18"/>
      <w:szCs w:val="18"/>
    </w:rPr>
  </w:style>
  <w:style w:type="paragraph" w:styleId="10">
    <w:name w:val="annotation subject"/>
    <w:basedOn w:val="3"/>
    <w:next w:val="3"/>
    <w:link w:val="25"/>
    <w:semiHidden/>
    <w:unhideWhenUsed/>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uiPriority w:val="0"/>
    <w:rPr>
      <w:sz w:val="21"/>
      <w:szCs w:val="21"/>
    </w:rPr>
  </w:style>
  <w:style w:type="character" w:styleId="15">
    <w:name w:val="footnote reference"/>
    <w:basedOn w:val="13"/>
    <w:semiHidden/>
    <w:unhideWhenUsed/>
    <w:uiPriority w:val="0"/>
    <w:rPr>
      <w:vertAlign w:val="superscript"/>
    </w:rPr>
  </w:style>
  <w:style w:type="paragraph" w:customStyle="1" w:styleId="16">
    <w:name w:val="列表段落1"/>
    <w:basedOn w:val="1"/>
    <w:qFormat/>
    <w:uiPriority w:val="34"/>
    <w:pPr>
      <w:ind w:firstLine="420" w:firstLineChars="200"/>
    </w:pPr>
  </w:style>
  <w:style w:type="paragraph" w:customStyle="1" w:styleId="17">
    <w:name w:val="WPSOffice手动目录 1"/>
    <w:uiPriority w:val="0"/>
    <w:rPr>
      <w:rFonts w:ascii="Times New Roman" w:hAnsi="Times New Roman" w:eastAsia="宋体" w:cs="Times New Roman"/>
      <w:lang w:val="en-US" w:eastAsia="zh-CN" w:bidi="ar-SA"/>
    </w:rPr>
  </w:style>
  <w:style w:type="paragraph" w:styleId="18">
    <w:name w:val="List Paragraph"/>
    <w:basedOn w:val="1"/>
    <w:qFormat/>
    <w:uiPriority w:val="99"/>
    <w:pPr>
      <w:ind w:firstLine="420" w:firstLineChars="200"/>
    </w:pPr>
  </w:style>
  <w:style w:type="character" w:customStyle="1" w:styleId="19">
    <w:name w:val="页眉 字符"/>
    <w:basedOn w:val="13"/>
    <w:link w:val="8"/>
    <w:qFormat/>
    <w:uiPriority w:val="99"/>
    <w:rPr>
      <w:rFonts w:asciiTheme="minorHAnsi" w:hAnsiTheme="minorHAnsi" w:eastAsiaTheme="minorEastAsia" w:cstheme="minorBidi"/>
      <w:kern w:val="2"/>
      <w:sz w:val="18"/>
      <w:szCs w:val="18"/>
    </w:rPr>
  </w:style>
  <w:style w:type="character" w:customStyle="1" w:styleId="20">
    <w:name w:val="页脚 字符"/>
    <w:basedOn w:val="13"/>
    <w:link w:val="7"/>
    <w:uiPriority w:val="99"/>
    <w:rPr>
      <w:rFonts w:asciiTheme="minorHAnsi" w:hAnsiTheme="minorHAnsi" w:eastAsiaTheme="minorEastAsia" w:cstheme="minorBidi"/>
      <w:kern w:val="2"/>
      <w:sz w:val="18"/>
      <w:szCs w:val="18"/>
    </w:rPr>
  </w:style>
  <w:style w:type="character" w:customStyle="1" w:styleId="21">
    <w:name w:val="fontstyle01"/>
    <w:basedOn w:val="13"/>
    <w:uiPriority w:val="0"/>
    <w:rPr>
      <w:rFonts w:hint="default" w:ascii="Noto Serif CJK SC" w:hAnsi="Noto Serif CJK SC"/>
      <w:color w:val="000000"/>
      <w:sz w:val="32"/>
      <w:szCs w:val="32"/>
    </w:rPr>
  </w:style>
  <w:style w:type="character" w:customStyle="1" w:styleId="22">
    <w:name w:val="fontstyle11"/>
    <w:basedOn w:val="13"/>
    <w:uiPriority w:val="0"/>
    <w:rPr>
      <w:rFonts w:hint="default" w:ascii="Times New Roman" w:hAnsi="Times New Roman" w:cs="Times New Roman"/>
      <w:color w:val="000000"/>
      <w:sz w:val="32"/>
      <w:szCs w:val="32"/>
    </w:rPr>
  </w:style>
  <w:style w:type="character" w:customStyle="1" w:styleId="23">
    <w:name w:val="脚注文本 字符"/>
    <w:basedOn w:val="13"/>
    <w:link w:val="9"/>
    <w:semiHidden/>
    <w:uiPriority w:val="0"/>
    <w:rPr>
      <w:rFonts w:asciiTheme="minorHAnsi" w:hAnsiTheme="minorHAnsi" w:eastAsiaTheme="minorEastAsia" w:cstheme="minorBidi"/>
      <w:kern w:val="2"/>
      <w:sz w:val="18"/>
      <w:szCs w:val="18"/>
    </w:rPr>
  </w:style>
  <w:style w:type="character" w:customStyle="1" w:styleId="24">
    <w:name w:val="批注文字 字符"/>
    <w:basedOn w:val="13"/>
    <w:link w:val="3"/>
    <w:semiHidden/>
    <w:uiPriority w:val="0"/>
    <w:rPr>
      <w:rFonts w:asciiTheme="minorHAnsi" w:hAnsiTheme="minorHAnsi" w:eastAsiaTheme="minorEastAsia" w:cstheme="minorBidi"/>
      <w:kern w:val="2"/>
      <w:sz w:val="21"/>
      <w:szCs w:val="22"/>
    </w:rPr>
  </w:style>
  <w:style w:type="character" w:customStyle="1" w:styleId="25">
    <w:name w:val="批注主题 字符"/>
    <w:basedOn w:val="24"/>
    <w:link w:val="10"/>
    <w:semiHidden/>
    <w:uiPriority w:val="0"/>
    <w:rPr>
      <w:rFonts w:asciiTheme="minorHAnsi" w:hAnsiTheme="minorHAnsi" w:eastAsiaTheme="minorEastAsia" w:cstheme="minorBidi"/>
      <w:b/>
      <w:bCs/>
      <w:kern w:val="2"/>
      <w:sz w:val="21"/>
      <w:szCs w:val="22"/>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3"/>
    <w:link w:val="6"/>
    <w:semiHidden/>
    <w:qFormat/>
    <w:uiPriority w:val="0"/>
    <w:rPr>
      <w:rFonts w:asciiTheme="minorHAnsi" w:hAnsiTheme="minorHAnsi" w:eastAsiaTheme="minorEastAsia" w:cstheme="minorBidi"/>
      <w:kern w:val="2"/>
      <w:sz w:val="18"/>
      <w:szCs w:val="18"/>
    </w:rPr>
  </w:style>
  <w:style w:type="paragraph" w:customStyle="1" w:styleId="28">
    <w:name w:val="新正文"/>
    <w:basedOn w:val="4"/>
    <w:qFormat/>
    <w:uiPriority w:val="0"/>
    <w:pPr>
      <w:ind w:firstLine="200" w:firstLineChars="200"/>
    </w:pPr>
    <w:rPr>
      <w:rFonts w:ascii="仿宋_GB2312" w:eastAsia="仿宋_GB2312" w:cs="Times New Roman"/>
      <w:sz w:val="32"/>
      <w:szCs w:val="20"/>
    </w:rPr>
  </w:style>
  <w:style w:type="character" w:customStyle="1" w:styleId="29">
    <w:name w:val="纯文本 字符"/>
    <w:basedOn w:val="13"/>
    <w:link w:val="4"/>
    <w:semiHidden/>
    <w:qFormat/>
    <w:uiPriority w:val="0"/>
    <w:rPr>
      <w:rFonts w:hAnsi="Courier New" w:cs="Courier New" w:asciiTheme="minorEastAsia" w:eastAsiaTheme="minorEastAsia"/>
      <w:kern w:val="2"/>
      <w:sz w:val="21"/>
      <w:szCs w:val="22"/>
    </w:rPr>
  </w:style>
  <w:style w:type="character" w:customStyle="1" w:styleId="30">
    <w:name w:val="日期 字符"/>
    <w:basedOn w:val="13"/>
    <w:link w:val="5"/>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1328B-A95D-40D3-A761-5AFFA668F05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4961</Words>
  <Characters>186</Characters>
  <Lines>1</Lines>
  <Paragraphs>10</Paragraphs>
  <TotalTime>0</TotalTime>
  <ScaleCrop>false</ScaleCrop>
  <LinksUpToDate>false</LinksUpToDate>
  <CharactersWithSpaces>5137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2020-04-22T12:02:00Z</dcterms:created>
  <dc:creator>thinkpad</dc:creator>
  <cp:lastModifiedBy>和平凌空</cp:lastModifiedBy>
  <cp:lastPrinted>2020-05-09T08:59:00Z</cp:lastPrinted>
  <dcterms:modified xsi:type="dcterms:W3CDTF">2020-05-11T07:29:06Z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