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b/>
          <w:bCs/>
          <w:sz w:val="28"/>
          <w:szCs w:val="28"/>
        </w:rPr>
      </w:pPr>
      <w:r>
        <w:rPr>
          <w:rFonts w:hint="eastAsia" w:ascii="仿宋" w:hAnsi="仿宋" w:eastAsia="仿宋"/>
          <w:b/>
          <w:bCs/>
          <w:sz w:val="28"/>
          <w:szCs w:val="28"/>
        </w:rPr>
        <w:t>附件1：</w:t>
      </w:r>
      <w:r>
        <w:rPr>
          <w:rFonts w:hint="eastAsia" w:ascii="仿宋" w:hAnsi="仿宋" w:eastAsia="仿宋"/>
          <w:b/>
          <w:bCs/>
          <w:sz w:val="28"/>
          <w:szCs w:val="28"/>
        </w:rPr>
        <w:t>202</w:t>
      </w:r>
      <w:r>
        <w:rPr>
          <w:rFonts w:hint="default" w:ascii="仿宋" w:hAnsi="仿宋" w:eastAsia="仿宋"/>
          <w:b/>
          <w:bCs/>
          <w:sz w:val="28"/>
          <w:szCs w:val="28"/>
          <w:lang w:val="en-US"/>
        </w:rPr>
        <w:t>2</w:t>
      </w:r>
      <w:r>
        <w:rPr>
          <w:rFonts w:hint="eastAsia" w:ascii="仿宋" w:hAnsi="仿宋" w:eastAsia="仿宋"/>
          <w:b/>
          <w:bCs/>
          <w:sz w:val="28"/>
          <w:szCs w:val="28"/>
        </w:rPr>
        <w:t>-202</w:t>
      </w:r>
      <w:r>
        <w:rPr>
          <w:rFonts w:hint="default" w:ascii="仿宋" w:hAnsi="仿宋" w:eastAsia="仿宋"/>
          <w:b/>
          <w:bCs/>
          <w:sz w:val="28"/>
          <w:szCs w:val="28"/>
          <w:lang w:val="en-US"/>
        </w:rPr>
        <w:t>3</w:t>
      </w:r>
      <w:r>
        <w:rPr>
          <w:rFonts w:hint="eastAsia" w:ascii="仿宋" w:hAnsi="仿宋" w:eastAsia="仿宋"/>
          <w:b/>
          <w:bCs/>
          <w:sz w:val="28"/>
          <w:szCs w:val="28"/>
        </w:rPr>
        <w:t>学年第</w:t>
      </w:r>
      <w:r>
        <w:rPr>
          <w:rFonts w:hint="eastAsia" w:ascii="仿宋" w:hAnsi="仿宋" w:eastAsia="仿宋"/>
          <w:b/>
          <w:bCs/>
          <w:sz w:val="28"/>
          <w:szCs w:val="28"/>
          <w:lang w:eastAsia="zh-CN"/>
        </w:rPr>
        <w:t>一</w:t>
      </w:r>
      <w:r>
        <w:rPr>
          <w:rFonts w:hint="eastAsia" w:ascii="仿宋" w:hAnsi="仿宋" w:eastAsia="仿宋"/>
          <w:b/>
          <w:bCs/>
          <w:sz w:val="28"/>
          <w:szCs w:val="28"/>
        </w:rPr>
        <w:t>学期校</w:t>
      </w:r>
      <w:bookmarkStart w:id="0" w:name="_GoBack"/>
      <w:bookmarkEnd w:id="0"/>
      <w:r>
        <w:rPr>
          <w:rFonts w:hint="eastAsia" w:ascii="仿宋" w:hAnsi="仿宋" w:eastAsia="仿宋"/>
          <w:b/>
          <w:bCs/>
          <w:sz w:val="28"/>
          <w:szCs w:val="28"/>
        </w:rPr>
        <w:t>内通识教育任意选修课计划开课数量和网络通识教育任意选修课推荐数量统计表</w:t>
      </w:r>
    </w:p>
    <w:p>
      <w:pPr>
        <w:tabs>
          <w:tab w:val="left" w:pos="1095"/>
        </w:tabs>
        <w:spacing w:line="320" w:lineRule="exact"/>
        <w:ind w:firstLine="420"/>
        <w:jc w:val="center"/>
        <w:rPr>
          <w:sz w:val="28"/>
          <w:szCs w:val="28"/>
        </w:rPr>
      </w:pPr>
    </w:p>
    <w:tbl>
      <w:tblPr>
        <w:tblStyle w:val="4"/>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2126"/>
        <w:gridCol w:w="1560"/>
        <w:gridCol w:w="1942"/>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07" w:type="dxa"/>
            <w:vAlign w:val="center"/>
          </w:tcPr>
          <w:p>
            <w:pPr>
              <w:widowControl/>
              <w:spacing w:line="360" w:lineRule="exact"/>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b/>
                <w:kern w:val="0"/>
                <w:sz w:val="18"/>
                <w:szCs w:val="18"/>
              </w:rPr>
              <w:t>序号</w:t>
            </w:r>
          </w:p>
        </w:tc>
        <w:tc>
          <w:tcPr>
            <w:tcW w:w="2126" w:type="dxa"/>
            <w:vAlign w:val="center"/>
          </w:tcPr>
          <w:p>
            <w:pPr>
              <w:widowControl/>
              <w:spacing w:line="360" w:lineRule="exact"/>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b/>
                <w:kern w:val="0"/>
                <w:sz w:val="18"/>
                <w:szCs w:val="18"/>
              </w:rPr>
              <w:t>二级学院</w:t>
            </w:r>
          </w:p>
        </w:tc>
        <w:tc>
          <w:tcPr>
            <w:tcW w:w="1560" w:type="dxa"/>
            <w:vAlign w:val="center"/>
          </w:tcPr>
          <w:p>
            <w:pPr>
              <w:widowControl/>
              <w:spacing w:line="360" w:lineRule="exact"/>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b/>
                <w:kern w:val="0"/>
                <w:sz w:val="18"/>
                <w:szCs w:val="18"/>
              </w:rPr>
              <w:t>中级以上（含中级）专任教师数</w:t>
            </w:r>
          </w:p>
        </w:tc>
        <w:tc>
          <w:tcPr>
            <w:tcW w:w="1942" w:type="dxa"/>
            <w:vAlign w:val="center"/>
          </w:tcPr>
          <w:p>
            <w:pPr>
              <w:widowControl/>
              <w:spacing w:line="360" w:lineRule="exact"/>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b/>
                <w:kern w:val="0"/>
                <w:sz w:val="18"/>
                <w:szCs w:val="18"/>
              </w:rPr>
              <w:t>校内开课门次数（中级以上（含中级）职称专任老师数*0.25）</w:t>
            </w:r>
          </w:p>
        </w:tc>
        <w:tc>
          <w:tcPr>
            <w:tcW w:w="2434" w:type="dxa"/>
          </w:tcPr>
          <w:p>
            <w:pPr>
              <w:widowControl/>
              <w:spacing w:line="360" w:lineRule="exact"/>
              <w:jc w:val="center"/>
              <w:rPr>
                <w:rFonts w:hint="eastAsia" w:cs="宋体" w:asciiTheme="majorEastAsia" w:hAnsiTheme="majorEastAsia" w:eastAsiaTheme="majorEastAsia"/>
                <w:b/>
                <w:kern w:val="0"/>
                <w:sz w:val="18"/>
                <w:szCs w:val="18"/>
                <w:lang w:eastAsia="zh-CN"/>
              </w:rPr>
            </w:pPr>
            <w:r>
              <w:rPr>
                <w:rFonts w:hint="eastAsia" w:cs="宋体" w:asciiTheme="majorEastAsia" w:hAnsiTheme="majorEastAsia" w:eastAsiaTheme="majorEastAsia"/>
                <w:b/>
                <w:kern w:val="0"/>
                <w:sz w:val="18"/>
                <w:szCs w:val="18"/>
              </w:rPr>
              <w:t>网络通识教育任意选修课拟推荐门次数（中级以上（含中级）职称专任老师数*0.15）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1</w:t>
            </w:r>
          </w:p>
        </w:tc>
        <w:tc>
          <w:tcPr>
            <w:tcW w:w="2126" w:type="dxa"/>
            <w:vAlign w:val="center"/>
          </w:tcPr>
          <w:p>
            <w:pPr>
              <w:widowControl/>
              <w:spacing w:line="360" w:lineRule="exact"/>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sz w:val="18"/>
                <w:szCs w:val="18"/>
              </w:rPr>
              <w:t>教育与音乐学院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b/>
                <w:color w:val="auto"/>
                <w:kern w:val="0"/>
                <w:sz w:val="18"/>
                <w:szCs w:val="18"/>
              </w:rPr>
            </w:pPr>
            <w:r>
              <w:rPr>
                <w:rFonts w:hint="default" w:ascii="Calibri" w:hAnsi="Calibri" w:eastAsia="宋体" w:cs="Calibri"/>
                <w:i w:val="0"/>
                <w:iCs w:val="0"/>
                <w:color w:val="auto"/>
                <w:kern w:val="0"/>
                <w:sz w:val="22"/>
                <w:szCs w:val="22"/>
                <w:u w:val="none"/>
                <w:lang w:val="en-US" w:eastAsia="zh-CN" w:bidi="ar"/>
              </w:rPr>
              <w:t>43</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11</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2</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经济与管理学院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77</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19</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3</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艺术与设计学院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71</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18</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4</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信息工程学院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56</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14</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5</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机电工程学院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55</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14</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6</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资源与化工学院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45</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11</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7</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建筑工程学院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40</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10</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8</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文化传播学院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25</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6</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9</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海外学院（外国语学院）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55</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14</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10</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体育与康养学院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33</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8</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11</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马克思主义学院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33</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8</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607"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12</w:t>
            </w:r>
          </w:p>
        </w:tc>
        <w:tc>
          <w:tcPr>
            <w:tcW w:w="2126" w:type="dxa"/>
            <w:vAlign w:val="center"/>
          </w:tcPr>
          <w:p>
            <w:pPr>
              <w:jc w:val="center"/>
              <w:rPr>
                <w:rFonts w:cs="宋体" w:asciiTheme="majorEastAsia" w:hAnsiTheme="majorEastAsia" w:eastAsiaTheme="majorEastAsia"/>
                <w:sz w:val="18"/>
                <w:szCs w:val="18"/>
              </w:rPr>
            </w:pPr>
            <w:r>
              <w:rPr>
                <w:rFonts w:hint="eastAsia" w:cs="宋体" w:asciiTheme="majorEastAsia" w:hAnsiTheme="majorEastAsia" w:eastAsiaTheme="majorEastAsia"/>
                <w:sz w:val="18"/>
                <w:szCs w:val="18"/>
              </w:rPr>
              <w:t>三创学院</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default" w:ascii="Calibri" w:hAnsi="Calibri" w:eastAsia="宋体" w:cs="Calibri"/>
                <w:i w:val="0"/>
                <w:iCs w:val="0"/>
                <w:color w:val="auto"/>
                <w:kern w:val="0"/>
                <w:sz w:val="22"/>
                <w:szCs w:val="22"/>
                <w:u w:val="none"/>
                <w:lang w:val="en-US" w:eastAsia="zh-CN" w:bidi="ar"/>
              </w:rPr>
              <w:t>5</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1</w:t>
            </w:r>
          </w:p>
        </w:tc>
        <w:tc>
          <w:tcPr>
            <w:tcW w:w="2434" w:type="dxa"/>
            <w:vAlign w:val="center"/>
          </w:tcPr>
          <w:p>
            <w:pPr>
              <w:keepNext w:val="0"/>
              <w:keepLines w:val="0"/>
              <w:widowControl/>
              <w:suppressLineNumbers w:val="0"/>
              <w:jc w:val="center"/>
              <w:textAlignment w:val="center"/>
              <w:rPr>
                <w:rFonts w:ascii="宋体" w:hAnsi="宋体" w:eastAsia="宋体" w:cs="宋体"/>
                <w:color w:val="auto"/>
                <w:sz w:val="22"/>
                <w:szCs w:val="22"/>
              </w:rPr>
            </w:pPr>
            <w:r>
              <w:rPr>
                <w:rFonts w:hint="eastAsia" w:ascii="宋体" w:hAnsi="宋体" w:eastAsia="宋体" w:cs="宋体"/>
                <w:i w:val="0"/>
                <w:iCs w:val="0"/>
                <w:color w:val="auto"/>
                <w:kern w:val="0"/>
                <w:sz w:val="18"/>
                <w:szCs w:val="18"/>
                <w:u w:val="none"/>
                <w:lang w:val="en-US" w:eastAsia="zh-CN" w:bidi="a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2733" w:type="dxa"/>
            <w:gridSpan w:val="2"/>
            <w:vAlign w:val="center"/>
          </w:tcPr>
          <w:p>
            <w:pPr>
              <w:widowControl/>
              <w:jc w:val="center"/>
              <w:rPr>
                <w:rFonts w:cs="宋体" w:asciiTheme="majorEastAsia" w:hAnsiTheme="majorEastAsia" w:eastAsiaTheme="majorEastAsia"/>
                <w:b/>
                <w:kern w:val="0"/>
                <w:sz w:val="18"/>
                <w:szCs w:val="18"/>
              </w:rPr>
            </w:pPr>
            <w:r>
              <w:rPr>
                <w:rFonts w:hint="eastAsia" w:cs="宋体" w:asciiTheme="majorEastAsia" w:hAnsiTheme="majorEastAsia" w:eastAsiaTheme="majorEastAsia"/>
                <w:b/>
                <w:kern w:val="0"/>
                <w:sz w:val="18"/>
                <w:szCs w:val="18"/>
              </w:rPr>
              <w:t>合计</w:t>
            </w:r>
          </w:p>
        </w:tc>
        <w:tc>
          <w:tcPr>
            <w:tcW w:w="1560" w:type="dxa"/>
            <w:vAlign w:val="center"/>
          </w:tcPr>
          <w:p>
            <w:pPr>
              <w:keepNext w:val="0"/>
              <w:keepLines w:val="0"/>
              <w:widowControl/>
              <w:suppressLineNumbers w:val="0"/>
              <w:jc w:val="center"/>
              <w:textAlignment w:val="center"/>
              <w:rPr>
                <w:rFonts w:cs="宋体" w:asciiTheme="majorEastAsia" w:hAnsiTheme="majorEastAsia" w:eastAsiaTheme="majorEastAsia"/>
                <w:color w:val="auto"/>
                <w:kern w:val="0"/>
                <w:sz w:val="18"/>
                <w:szCs w:val="18"/>
              </w:rPr>
            </w:pPr>
            <w:r>
              <w:rPr>
                <w:rFonts w:hint="eastAsia" w:ascii="宋体" w:hAnsi="宋体" w:eastAsia="宋体" w:cs="宋体"/>
                <w:i w:val="0"/>
                <w:iCs w:val="0"/>
                <w:color w:val="auto"/>
                <w:kern w:val="0"/>
                <w:sz w:val="18"/>
                <w:szCs w:val="18"/>
                <w:u w:val="none"/>
                <w:lang w:val="en-US" w:eastAsia="zh-CN" w:bidi="ar"/>
              </w:rPr>
              <w:t>538</w:t>
            </w:r>
          </w:p>
        </w:tc>
        <w:tc>
          <w:tcPr>
            <w:tcW w:w="1942" w:type="dxa"/>
            <w:vAlign w:val="center"/>
          </w:tcPr>
          <w:p>
            <w:pPr>
              <w:keepNext w:val="0"/>
              <w:keepLines w:val="0"/>
              <w:widowControl/>
              <w:suppressLineNumbers w:val="0"/>
              <w:jc w:val="center"/>
              <w:textAlignment w:val="center"/>
              <w:rPr>
                <w:rFonts w:cs="宋体" w:asciiTheme="majorEastAsia" w:hAnsiTheme="majorEastAsia" w:eastAsiaTheme="majorEastAsia"/>
                <w:color w:val="auto"/>
                <w:sz w:val="18"/>
                <w:szCs w:val="18"/>
              </w:rPr>
            </w:pPr>
            <w:r>
              <w:rPr>
                <w:rFonts w:hint="eastAsia" w:ascii="宋体" w:hAnsi="宋体" w:eastAsia="宋体" w:cs="宋体"/>
                <w:i w:val="0"/>
                <w:iCs w:val="0"/>
                <w:color w:val="auto"/>
                <w:kern w:val="0"/>
                <w:sz w:val="18"/>
                <w:szCs w:val="18"/>
                <w:u w:val="none"/>
                <w:lang w:val="en-US" w:eastAsia="zh-CN" w:bidi="ar"/>
              </w:rPr>
              <w:t>134</w:t>
            </w:r>
          </w:p>
        </w:tc>
        <w:tc>
          <w:tcPr>
            <w:tcW w:w="2434" w:type="dxa"/>
            <w:vAlign w:val="center"/>
          </w:tcPr>
          <w:p>
            <w:pPr>
              <w:keepNext w:val="0"/>
              <w:keepLines w:val="0"/>
              <w:widowControl/>
              <w:suppressLineNumbers w:val="0"/>
              <w:jc w:val="center"/>
              <w:textAlignment w:val="center"/>
              <w:rPr>
                <w:rFonts w:hint="eastAsia" w:cs="宋体" w:asciiTheme="majorEastAsia" w:hAnsiTheme="majorEastAsia" w:eastAsiaTheme="majorEastAsia"/>
                <w:color w:val="auto"/>
                <w:sz w:val="18"/>
                <w:szCs w:val="18"/>
              </w:rPr>
            </w:pPr>
            <w:r>
              <w:rPr>
                <w:rFonts w:hint="eastAsia" w:ascii="宋体" w:hAnsi="宋体" w:eastAsia="宋体" w:cs="宋体"/>
                <w:i w:val="0"/>
                <w:iCs w:val="0"/>
                <w:color w:val="auto"/>
                <w:kern w:val="0"/>
                <w:sz w:val="18"/>
                <w:szCs w:val="18"/>
                <w:u w:val="none"/>
                <w:lang w:val="en-US" w:eastAsia="zh-CN" w:bidi="ar"/>
              </w:rPr>
              <w:t>81</w:t>
            </w:r>
          </w:p>
        </w:tc>
      </w:tr>
    </w:tbl>
    <w:p>
      <w:pPr>
        <w:spacing w:line="320" w:lineRule="exact"/>
      </w:pPr>
    </w:p>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6"/>
                            </w:rPr>
                          </w:pPr>
                          <w:r>
                            <w:fldChar w:fldCharType="begin"/>
                          </w:r>
                          <w:r>
                            <w:rPr>
                              <w:rStyle w:val="6"/>
                            </w:rPr>
                            <w:instrText xml:space="preserve">PAGE  </w:instrText>
                          </w:r>
                          <w:r>
                            <w:fldChar w:fldCharType="separate"/>
                          </w:r>
                          <w:r>
                            <w:rPr>
                              <w:rStyle w:val="6"/>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
                      <w:rPr>
                        <w:rStyle w:val="6"/>
                      </w:rPr>
                    </w:pPr>
                    <w:r>
                      <w:fldChar w:fldCharType="begin"/>
                    </w:r>
                    <w:r>
                      <w:rPr>
                        <w:rStyle w:val="6"/>
                      </w:rPr>
                      <w:instrText xml:space="preserve">PAGE  </w:instrText>
                    </w:r>
                    <w:r>
                      <w:fldChar w:fldCharType="separate"/>
                    </w:r>
                    <w:r>
                      <w:rPr>
                        <w:rStyle w:val="6"/>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4DD"/>
    <w:rsid w:val="001F1FB9"/>
    <w:rsid w:val="002142CC"/>
    <w:rsid w:val="002C106E"/>
    <w:rsid w:val="00391EBF"/>
    <w:rsid w:val="003C24DD"/>
    <w:rsid w:val="00506864"/>
    <w:rsid w:val="005E0654"/>
    <w:rsid w:val="00720740"/>
    <w:rsid w:val="00817478"/>
    <w:rsid w:val="00906AA4"/>
    <w:rsid w:val="009262FD"/>
    <w:rsid w:val="00A931E2"/>
    <w:rsid w:val="00AC29B3"/>
    <w:rsid w:val="00B10D13"/>
    <w:rsid w:val="00D3006E"/>
    <w:rsid w:val="00D41CE8"/>
    <w:rsid w:val="00F82B43"/>
    <w:rsid w:val="27F8646F"/>
    <w:rsid w:val="2F975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0"/>
    <w:pPr>
      <w:tabs>
        <w:tab w:val="center" w:pos="4153"/>
        <w:tab w:val="right" w:pos="8306"/>
      </w:tabs>
      <w:snapToGrid w:val="0"/>
      <w:jc w:val="left"/>
    </w:pPr>
    <w:rPr>
      <w:sz w:val="18"/>
      <w:szCs w:val="18"/>
    </w:rPr>
  </w:style>
  <w:style w:type="paragraph" w:styleId="3">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58</Words>
  <Characters>335</Characters>
  <Lines>2</Lines>
  <Paragraphs>1</Paragraphs>
  <TotalTime>5</TotalTime>
  <ScaleCrop>false</ScaleCrop>
  <LinksUpToDate>false</LinksUpToDate>
  <CharactersWithSpaces>392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2021-10-29T05:11:00Z</dcterms:created>
  <dc:creator>Sky123.Org</dc:creator>
  <cp:lastModifiedBy>知足</cp:lastModifiedBy>
  <dcterms:modified xsi:type="dcterms:W3CDTF">2022-05-06T02:42:32Z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A0975B0A088448A3992D70F955FC8713</vt:lpwstr>
  </property>
</Properties>
</file>