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ascii="方正小标宋简体" w:hAnsi="黑体" w:eastAsia="方正小标宋简体"/>
          <w:sz w:val="40"/>
          <w:szCs w:val="32"/>
        </w:rPr>
      </w:pPr>
    </w:p>
    <w:p>
      <w:pPr>
        <w:spacing w:line="560" w:lineRule="exact"/>
        <w:jc w:val="center"/>
        <w:rPr>
          <w:rFonts w:ascii="方正小标宋简体" w:hAnsi="黑体" w:eastAsia="方正小标宋简体"/>
          <w:sz w:val="40"/>
          <w:szCs w:val="32"/>
        </w:rPr>
      </w:pPr>
      <w:bookmarkStart w:id="0" w:name="_Hlk49953965"/>
      <w:r>
        <w:rPr>
          <w:rFonts w:hint="eastAsia" w:ascii="方正小标宋简体" w:hAnsi="黑体" w:eastAsia="方正小标宋简体"/>
          <w:sz w:val="40"/>
          <w:szCs w:val="32"/>
        </w:rPr>
        <w:t>学士学位论文（毕业设计）抽检办法</w:t>
      </w:r>
      <w:bookmarkEnd w:id="0"/>
      <w:r>
        <w:rPr>
          <w:rFonts w:hint="eastAsia" w:ascii="方正小标宋简体" w:hAnsi="黑体" w:eastAsia="方正小标宋简体"/>
          <w:sz w:val="40"/>
          <w:szCs w:val="32"/>
        </w:rPr>
        <w:t>（试行）</w:t>
      </w:r>
    </w:p>
    <w:p>
      <w:pPr>
        <w:spacing w:line="560" w:lineRule="exact"/>
        <w:jc w:val="center"/>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教育厅</w:t>
      </w:r>
      <w:r>
        <w:rPr>
          <w:rFonts w:hint="eastAsia" w:ascii="仿宋_GB2312" w:eastAsia="仿宋_GB2312"/>
          <w:sz w:val="32"/>
          <w:szCs w:val="32"/>
        </w:rPr>
        <w:t>征求意见稿）</w:t>
      </w:r>
    </w:p>
    <w:p>
      <w:pPr>
        <w:spacing w:line="560" w:lineRule="exact"/>
        <w:jc w:val="center"/>
        <w:rPr>
          <w:rFonts w:ascii="仿宋_GB2312" w:eastAsia="仿宋_GB2312"/>
          <w:sz w:val="32"/>
          <w:szCs w:val="32"/>
        </w:rPr>
      </w:pPr>
    </w:p>
    <w:p>
      <w:pPr>
        <w:spacing w:line="560" w:lineRule="exact"/>
        <w:jc w:val="center"/>
        <w:rPr>
          <w:rFonts w:ascii="黑体" w:hAnsi="黑体" w:eastAsia="黑体"/>
          <w:sz w:val="32"/>
          <w:szCs w:val="32"/>
        </w:rPr>
      </w:pPr>
      <w:r>
        <w:rPr>
          <w:rFonts w:hint="eastAsia" w:ascii="黑体" w:hAnsi="黑体" w:eastAsia="黑体"/>
          <w:sz w:val="32"/>
          <w:szCs w:val="32"/>
        </w:rPr>
        <w:t>第一章 总则</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第一条（制定依据）</w:t>
      </w:r>
      <w:r>
        <w:rPr>
          <w:rFonts w:ascii="仿宋_GB2312" w:eastAsia="仿宋_GB2312"/>
          <w:sz w:val="32"/>
          <w:szCs w:val="32"/>
        </w:rPr>
        <w:t xml:space="preserve"> </w:t>
      </w:r>
      <w:r>
        <w:rPr>
          <w:rFonts w:hint="eastAsia" w:ascii="仿宋_GB2312" w:eastAsia="仿宋_GB2312"/>
          <w:sz w:val="32"/>
          <w:szCs w:val="32"/>
        </w:rPr>
        <w:t>按照《深化新时代教育评价改革总体方案》和《</w:t>
      </w:r>
      <w:r>
        <w:rPr>
          <w:rFonts w:ascii="仿宋_GB2312" w:hAnsi="黑体" w:eastAsia="仿宋_GB2312"/>
          <w:sz w:val="32"/>
          <w:szCs w:val="32"/>
        </w:rPr>
        <w:t>关于深化新时代教育督导体制机制改革的意见</w:t>
      </w:r>
      <w:r>
        <w:rPr>
          <w:rFonts w:hint="eastAsia" w:ascii="仿宋_GB2312" w:eastAsia="仿宋_GB2312"/>
          <w:sz w:val="32"/>
          <w:szCs w:val="32"/>
        </w:rPr>
        <w:t>》要求，</w:t>
      </w:r>
      <w:r>
        <w:rPr>
          <w:rFonts w:hint="eastAsia" w:ascii="仿宋_GB2312" w:hAnsi="黑体" w:eastAsia="仿宋_GB2312"/>
          <w:sz w:val="32"/>
          <w:szCs w:val="32"/>
        </w:rPr>
        <w:t>加强和改进教育督导评估监测，做好学士学位论文（毕业设计）</w:t>
      </w:r>
      <w:r>
        <w:rPr>
          <w:rFonts w:hint="eastAsia" w:ascii="仿宋_GB2312" w:eastAsia="仿宋_GB2312"/>
          <w:sz w:val="32"/>
          <w:szCs w:val="32"/>
        </w:rPr>
        <w:t>（以下简称“学士学位论文”）</w:t>
      </w:r>
      <w:r>
        <w:rPr>
          <w:rFonts w:hint="eastAsia" w:ascii="仿宋_GB2312" w:hAnsi="黑体" w:eastAsia="仿宋_GB2312"/>
          <w:sz w:val="32"/>
          <w:szCs w:val="32"/>
        </w:rPr>
        <w:t>抽检工作，</w:t>
      </w:r>
      <w:r>
        <w:rPr>
          <w:rFonts w:hint="eastAsia" w:ascii="仿宋_GB2312" w:eastAsia="仿宋_GB2312"/>
          <w:sz w:val="32"/>
          <w:szCs w:val="32"/>
        </w:rPr>
        <w:t>保证学士学位授予质量，特制定本办法。</w:t>
      </w:r>
    </w:p>
    <w:p>
      <w:pPr>
        <w:spacing w:line="560" w:lineRule="exact"/>
        <w:ind w:firstLine="640" w:firstLineChars="200"/>
        <w:rPr>
          <w:rFonts w:ascii="仿宋_GB2312" w:eastAsia="仿宋_GB2312"/>
          <w:b/>
          <w:sz w:val="32"/>
          <w:szCs w:val="32"/>
        </w:rPr>
      </w:pPr>
      <w:r>
        <w:rPr>
          <w:rFonts w:hint="eastAsia" w:ascii="仿宋_GB2312" w:eastAsia="仿宋_GB2312"/>
          <w:b/>
          <w:sz w:val="32"/>
          <w:szCs w:val="32"/>
        </w:rPr>
        <w:t>第二条（实施主体）</w:t>
      </w:r>
      <w:r>
        <w:rPr>
          <w:rFonts w:hint="eastAsia" w:ascii="仿宋_GB2312" w:eastAsia="仿宋_GB2312"/>
          <w:sz w:val="32"/>
          <w:szCs w:val="32"/>
        </w:rPr>
        <w:t xml:space="preserve"> 国务院教育督导委员会办公室负责学士学位论文抽检的统筹组织和监督，省级教育行政部门负责本地区学士学位论文抽检的具体实施。其中，中国人民解放军有关部门负责军队系统学士学位论文抽检的具体实施。</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 xml:space="preserve">第三条（工作原则） </w:t>
      </w:r>
      <w:r>
        <w:rPr>
          <w:rFonts w:hint="eastAsia" w:ascii="仿宋_GB2312" w:eastAsia="仿宋_GB2312"/>
          <w:sz w:val="32"/>
          <w:szCs w:val="32"/>
        </w:rPr>
        <w:t>学士学位论文抽检工作应当遵循独立、客观、科学、公正的原则，任何单位和个人都不得以任何方式干扰抽检工作的正常进行。</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第四条（抽检范围）</w:t>
      </w:r>
      <w:r>
        <w:rPr>
          <w:rFonts w:ascii="仿宋_GB2312" w:eastAsia="仿宋_GB2312"/>
          <w:sz w:val="32"/>
          <w:szCs w:val="32"/>
        </w:rPr>
        <w:t xml:space="preserve"> </w:t>
      </w:r>
      <w:r>
        <w:rPr>
          <w:rFonts w:hint="eastAsia" w:ascii="仿宋_GB2312" w:eastAsia="仿宋_GB2312"/>
          <w:sz w:val="32"/>
          <w:szCs w:val="32"/>
        </w:rPr>
        <w:t>学士学位论文抽检每年进行一次，抽检对象为上一学年度授予学士学位的论文，抽检比例一般不超过</w:t>
      </w:r>
      <w:r>
        <w:rPr>
          <w:rFonts w:ascii="Times New Roman" w:hAnsi="Times New Roman" w:eastAsia="仿宋_GB2312" w:cs="Times New Roman"/>
          <w:sz w:val="32"/>
          <w:szCs w:val="32"/>
        </w:rPr>
        <w:t>5%</w:t>
      </w:r>
      <w:r>
        <w:rPr>
          <w:rFonts w:hint="eastAsia" w:ascii="仿宋_GB2312" w:eastAsia="仿宋_GB2312"/>
          <w:sz w:val="32"/>
          <w:szCs w:val="32"/>
        </w:rPr>
        <w:t>。</w:t>
      </w:r>
    </w:p>
    <w:p>
      <w:pPr>
        <w:spacing w:beforeLines="50" w:line="560" w:lineRule="exact"/>
        <w:jc w:val="center"/>
        <w:rPr>
          <w:rFonts w:ascii="黑体" w:hAnsi="黑体" w:eastAsia="黑体"/>
          <w:sz w:val="32"/>
          <w:szCs w:val="32"/>
        </w:rPr>
      </w:pPr>
      <w:r>
        <w:rPr>
          <w:rFonts w:hint="eastAsia" w:ascii="黑体" w:hAnsi="黑体" w:eastAsia="黑体"/>
          <w:sz w:val="32"/>
          <w:szCs w:val="32"/>
        </w:rPr>
        <w:t xml:space="preserve">第二章 </w:t>
      </w:r>
      <w:r>
        <w:rPr>
          <w:rFonts w:ascii="黑体" w:hAnsi="黑体" w:eastAsia="黑体"/>
          <w:sz w:val="32"/>
          <w:szCs w:val="32"/>
        </w:rPr>
        <w:t xml:space="preserve"> </w:t>
      </w:r>
      <w:r>
        <w:rPr>
          <w:rFonts w:hint="eastAsia" w:ascii="黑体" w:hAnsi="黑体" w:eastAsia="黑体"/>
          <w:sz w:val="32"/>
          <w:szCs w:val="32"/>
        </w:rPr>
        <w:t>评议要素和重点</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 xml:space="preserve">第五条（评议要素） </w:t>
      </w:r>
      <w:r>
        <w:rPr>
          <w:rFonts w:hint="eastAsia" w:ascii="仿宋_GB2312" w:eastAsia="仿宋_GB2312"/>
          <w:sz w:val="32"/>
          <w:szCs w:val="32"/>
        </w:rPr>
        <w:t>省级教育行政部门要参照《普通高等学校本科专业类教学质量国家标准》等要求，结合本地区工作实际，按照《普通高等学校本科专业目录（</w:t>
      </w:r>
      <w:r>
        <w:rPr>
          <w:rFonts w:ascii="Times New Roman" w:hAnsi="Times New Roman" w:eastAsia="仿宋_GB2312" w:cs="Times New Roman"/>
          <w:sz w:val="32"/>
          <w:szCs w:val="32"/>
        </w:rPr>
        <w:t>2012</w:t>
      </w:r>
      <w:r>
        <w:rPr>
          <w:rFonts w:ascii="仿宋_GB2312" w:eastAsia="仿宋_GB2312"/>
          <w:sz w:val="32"/>
          <w:szCs w:val="32"/>
        </w:rPr>
        <w:t>年）》</w:t>
      </w:r>
      <w:r>
        <w:rPr>
          <w:rFonts w:hint="eastAsia" w:ascii="仿宋_GB2312" w:eastAsia="仿宋_GB2312"/>
          <w:sz w:val="32"/>
          <w:szCs w:val="32"/>
        </w:rPr>
        <w:t>学科门类分别制定学士学位论文抽检评议要素。</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第六条（评议重点）</w:t>
      </w:r>
      <w:r>
        <w:rPr>
          <w:rFonts w:hint="eastAsia" w:ascii="仿宋_GB2312" w:eastAsia="仿宋_GB2312"/>
          <w:sz w:val="32"/>
          <w:szCs w:val="32"/>
        </w:rPr>
        <w:t xml:space="preserve"> 学士学位论文抽检应重点对选题现实意义、写作结构安排、内容逻辑构建、专业能力展现以及遵守学术规范等内容进行考察。</w:t>
      </w:r>
    </w:p>
    <w:p>
      <w:pPr>
        <w:spacing w:beforeLines="50" w:line="560" w:lineRule="exact"/>
        <w:jc w:val="center"/>
        <w:rPr>
          <w:rFonts w:ascii="黑体" w:hAnsi="黑体" w:eastAsia="黑体"/>
          <w:sz w:val="32"/>
          <w:szCs w:val="32"/>
        </w:rPr>
      </w:pPr>
      <w:r>
        <w:rPr>
          <w:rFonts w:hint="eastAsia" w:ascii="黑体" w:hAnsi="黑体" w:eastAsia="黑体"/>
          <w:sz w:val="32"/>
          <w:szCs w:val="32"/>
        </w:rPr>
        <w:t>第三章 工作程序</w:t>
      </w:r>
    </w:p>
    <w:p>
      <w:pPr>
        <w:spacing w:line="560" w:lineRule="exact"/>
        <w:ind w:firstLine="640" w:firstLineChars="200"/>
        <w:rPr>
          <w:rFonts w:ascii="仿宋_GB2312" w:eastAsia="仿宋_GB2312"/>
          <w:b/>
          <w:sz w:val="32"/>
          <w:szCs w:val="32"/>
        </w:rPr>
      </w:pPr>
      <w:r>
        <w:rPr>
          <w:rFonts w:hint="eastAsia" w:ascii="仿宋_GB2312" w:eastAsia="仿宋_GB2312"/>
          <w:b/>
          <w:sz w:val="32"/>
          <w:szCs w:val="32"/>
        </w:rPr>
        <w:t>第七条（建立平台）</w:t>
      </w:r>
      <w:r>
        <w:rPr>
          <w:rFonts w:hint="eastAsia" w:ascii="仿宋_GB2312" w:eastAsia="仿宋_GB2312"/>
          <w:sz w:val="32"/>
          <w:szCs w:val="32"/>
        </w:rPr>
        <w:t xml:space="preserve"> 国务院教育督导委员会办公室建立全国学士学位论文抽检信息平台，面向省级教育行政部门提供学术不端行为检测、学位论文提取和专家评审等定制功能，对各省学士学位论文抽检工作实行全过程监督。</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第八条（抽取论文）</w:t>
      </w:r>
      <w:r>
        <w:rPr>
          <w:rFonts w:hint="eastAsia" w:ascii="仿宋_GB2312" w:eastAsia="仿宋_GB2312"/>
          <w:sz w:val="32"/>
          <w:szCs w:val="32"/>
        </w:rPr>
        <w:t xml:space="preserve"> 省级教育行政部门基于全国学士学位论文抽检信息平台和本地区学士学位授予信息，采取随机抽取的方式确定抽检名单。抽检论文要覆盖本地区所有学士学位授予单位及其全部本科专业。</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第九条（学术不端检测）</w:t>
      </w:r>
      <w:r>
        <w:rPr>
          <w:rFonts w:hint="eastAsia" w:ascii="仿宋_GB2312" w:eastAsia="仿宋_GB2312"/>
          <w:sz w:val="32"/>
          <w:szCs w:val="32"/>
        </w:rPr>
        <w:t xml:space="preserve"> 省级教育行政部门利用信息技术手段对抽检论文进行学术不端行为检测，检测结果供专家评审参考。</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 xml:space="preserve">第十条（论文评审） </w:t>
      </w:r>
      <w:r>
        <w:rPr>
          <w:rFonts w:hint="eastAsia" w:ascii="仿宋_GB2312" w:eastAsia="仿宋_GB2312"/>
          <w:sz w:val="32"/>
          <w:szCs w:val="32"/>
        </w:rPr>
        <w:t>省级教育行政部门采取随机匹配方式组织同行专家对抽检论文进行评议，</w:t>
      </w:r>
      <w:r>
        <w:rPr>
          <w:rFonts w:hint="eastAsia" w:ascii="Times New Roman" w:hAnsi="Times New Roman" w:eastAsia="仿宋_GB2312" w:cs="Times New Roman"/>
          <w:sz w:val="32"/>
          <w:szCs w:val="32"/>
        </w:rPr>
        <w:t>提出评议意见。</w:t>
      </w:r>
      <w:r>
        <w:rPr>
          <w:rFonts w:hint="eastAsia" w:ascii="仿宋_GB2312" w:eastAsia="仿宋_GB2312"/>
          <w:sz w:val="32"/>
          <w:szCs w:val="32"/>
        </w:rPr>
        <w:t>每篇学位论文送</w:t>
      </w:r>
      <w:r>
        <w:rPr>
          <w:rFonts w:ascii="Times New Roman" w:hAnsi="Times New Roman" w:eastAsia="仿宋_GB2312" w:cs="Times New Roman"/>
          <w:sz w:val="32"/>
          <w:szCs w:val="32"/>
        </w:rPr>
        <w:t>3</w:t>
      </w:r>
      <w:r>
        <w:rPr>
          <w:rFonts w:hint="eastAsia" w:ascii="仿宋_GB2312" w:eastAsia="仿宋_GB2312"/>
          <w:sz w:val="32"/>
          <w:szCs w:val="32"/>
        </w:rPr>
        <w:t>位同行专家，</w:t>
      </w:r>
      <w:r>
        <w:rPr>
          <w:rFonts w:hint="eastAsia" w:ascii="Times New Roman" w:hAnsi="Times New Roman" w:eastAsia="仿宋_GB2312" w:cs="Times New Roman"/>
          <w:sz w:val="32"/>
          <w:szCs w:val="32"/>
        </w:rPr>
        <w:t>3</w:t>
      </w:r>
      <w:r>
        <w:rPr>
          <w:rFonts w:hint="eastAsia" w:ascii="仿宋_GB2312" w:eastAsia="仿宋_GB2312"/>
          <w:sz w:val="32"/>
          <w:szCs w:val="32"/>
        </w:rPr>
        <w:t>位专家中有</w:t>
      </w:r>
      <w:r>
        <w:rPr>
          <w:rFonts w:hint="eastAsia" w:ascii="Times New Roman" w:hAnsi="Times New Roman" w:eastAsia="仿宋_GB2312" w:cs="Times New Roman"/>
          <w:sz w:val="32"/>
          <w:szCs w:val="32"/>
        </w:rPr>
        <w:t>2</w:t>
      </w:r>
      <w:r>
        <w:rPr>
          <w:rFonts w:hint="eastAsia" w:ascii="仿宋_GB2312" w:eastAsia="仿宋_GB2312"/>
          <w:sz w:val="32"/>
          <w:szCs w:val="32"/>
        </w:rPr>
        <w:t>位以上（含</w:t>
      </w:r>
      <w:r>
        <w:rPr>
          <w:rFonts w:hint="eastAsia" w:ascii="Times New Roman" w:hAnsi="Times New Roman" w:eastAsia="仿宋_GB2312" w:cs="Times New Roman"/>
          <w:sz w:val="32"/>
          <w:szCs w:val="32"/>
        </w:rPr>
        <w:t>2</w:t>
      </w:r>
      <w:r>
        <w:rPr>
          <w:rFonts w:hint="eastAsia" w:ascii="仿宋_GB2312" w:eastAsia="仿宋_GB2312"/>
          <w:sz w:val="32"/>
          <w:szCs w:val="32"/>
        </w:rPr>
        <w:t>位）专家评议意见为“不合格”的学位论文，将认定为“存在问题学位论文”。</w:t>
      </w:r>
      <w:r>
        <w:rPr>
          <w:rFonts w:hint="eastAsia" w:ascii="Times New Roman" w:hAnsi="Times New Roman" w:eastAsia="仿宋_GB2312" w:cs="Times New Roman"/>
          <w:sz w:val="32"/>
          <w:szCs w:val="32"/>
        </w:rPr>
        <w:t>3</w:t>
      </w:r>
      <w:r>
        <w:rPr>
          <w:rFonts w:hint="eastAsia" w:ascii="仿宋_GB2312" w:eastAsia="仿宋_GB2312"/>
          <w:sz w:val="32"/>
          <w:szCs w:val="32"/>
        </w:rPr>
        <w:t>位专家中有</w:t>
      </w:r>
      <w:r>
        <w:rPr>
          <w:rFonts w:hint="eastAsia" w:ascii="Times New Roman" w:hAnsi="Times New Roman" w:eastAsia="仿宋_GB2312" w:cs="Times New Roman"/>
          <w:sz w:val="32"/>
          <w:szCs w:val="32"/>
        </w:rPr>
        <w:t>1</w:t>
      </w:r>
      <w:r>
        <w:rPr>
          <w:rFonts w:hint="eastAsia" w:ascii="仿宋_GB2312" w:eastAsia="仿宋_GB2312"/>
          <w:sz w:val="32"/>
          <w:szCs w:val="32"/>
        </w:rPr>
        <w:t>位专家评议意见为“不合格”，将再送</w:t>
      </w:r>
      <w:r>
        <w:rPr>
          <w:rFonts w:hint="eastAsia" w:ascii="Times New Roman" w:hAnsi="Times New Roman" w:eastAsia="仿宋_GB2312" w:cs="Times New Roman"/>
          <w:sz w:val="32"/>
          <w:szCs w:val="32"/>
        </w:rPr>
        <w:t>2</w:t>
      </w:r>
      <w:r>
        <w:rPr>
          <w:rFonts w:hint="eastAsia" w:ascii="仿宋_GB2312" w:eastAsia="仿宋_GB2312"/>
          <w:sz w:val="32"/>
          <w:szCs w:val="32"/>
        </w:rPr>
        <w:t>位同行专家进行复评。</w:t>
      </w:r>
      <w:r>
        <w:rPr>
          <w:rFonts w:hint="eastAsia" w:ascii="Times New Roman" w:hAnsi="Times New Roman" w:eastAsia="仿宋_GB2312" w:cs="Times New Roman"/>
          <w:sz w:val="32"/>
          <w:szCs w:val="32"/>
        </w:rPr>
        <w:t>2</w:t>
      </w:r>
      <w:r>
        <w:rPr>
          <w:rFonts w:hint="eastAsia" w:ascii="仿宋_GB2312" w:eastAsia="仿宋_GB2312"/>
          <w:sz w:val="32"/>
          <w:szCs w:val="32"/>
        </w:rPr>
        <w:t>位复评专家中有</w:t>
      </w:r>
      <w:r>
        <w:rPr>
          <w:rFonts w:hint="eastAsia" w:ascii="Times New Roman" w:hAnsi="Times New Roman" w:eastAsia="仿宋_GB2312" w:cs="Times New Roman"/>
          <w:sz w:val="32"/>
          <w:szCs w:val="32"/>
        </w:rPr>
        <w:t>1</w:t>
      </w:r>
      <w:r>
        <w:rPr>
          <w:rFonts w:hint="eastAsia" w:ascii="仿宋_GB2312" w:eastAsia="仿宋_GB2312"/>
          <w:sz w:val="32"/>
          <w:szCs w:val="32"/>
        </w:rPr>
        <w:t>位以上（含</w:t>
      </w:r>
      <w:r>
        <w:rPr>
          <w:rFonts w:hint="eastAsia" w:ascii="Times New Roman" w:hAnsi="Times New Roman" w:eastAsia="仿宋_GB2312" w:cs="Times New Roman"/>
          <w:sz w:val="32"/>
          <w:szCs w:val="32"/>
        </w:rPr>
        <w:t>1</w:t>
      </w:r>
      <w:r>
        <w:rPr>
          <w:rFonts w:hint="eastAsia" w:ascii="仿宋_GB2312" w:eastAsia="仿宋_GB2312"/>
          <w:sz w:val="32"/>
          <w:szCs w:val="32"/>
        </w:rPr>
        <w:t>位）专家评议意见为“不合格”，将认定为“存在问题学位论文”。</w:t>
      </w:r>
    </w:p>
    <w:p>
      <w:pPr>
        <w:spacing w:beforeLines="50" w:line="560" w:lineRule="exact"/>
        <w:jc w:val="center"/>
        <w:rPr>
          <w:rFonts w:ascii="黑体" w:hAnsi="黑体" w:eastAsia="黑体"/>
          <w:sz w:val="32"/>
          <w:szCs w:val="32"/>
        </w:rPr>
      </w:pPr>
      <w:r>
        <w:rPr>
          <w:rFonts w:hint="eastAsia" w:ascii="黑体" w:hAnsi="黑体" w:eastAsia="黑体"/>
          <w:sz w:val="32"/>
          <w:szCs w:val="32"/>
        </w:rPr>
        <w:t>第四章</w:t>
      </w:r>
      <w:r>
        <w:rPr>
          <w:rFonts w:ascii="黑体" w:hAnsi="黑体" w:eastAsia="黑体"/>
          <w:sz w:val="32"/>
          <w:szCs w:val="32"/>
        </w:rPr>
        <w:t xml:space="preserve"> </w:t>
      </w:r>
      <w:r>
        <w:rPr>
          <w:rFonts w:hint="eastAsia" w:ascii="黑体" w:hAnsi="黑体" w:eastAsia="黑体"/>
          <w:sz w:val="32"/>
          <w:szCs w:val="32"/>
        </w:rPr>
        <w:t>结果反馈与使用</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第十二条（结果反馈）</w:t>
      </w:r>
      <w:r>
        <w:rPr>
          <w:rFonts w:hint="eastAsia" w:ascii="仿宋_GB2312" w:eastAsia="仿宋_GB2312"/>
          <w:sz w:val="32"/>
          <w:szCs w:val="32"/>
        </w:rPr>
        <w:t xml:space="preserve"> 学士学位论文抽检结果由省级教育行政部门向学位授予单位反馈，同时报国务院教育督导委员会办公室备案。</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第十三条（结果使用）</w:t>
      </w:r>
      <w:r>
        <w:rPr>
          <w:rFonts w:hint="eastAsia" w:ascii="仿宋_GB2312" w:eastAsia="仿宋_GB2312"/>
          <w:sz w:val="32"/>
          <w:szCs w:val="32"/>
        </w:rPr>
        <w:t xml:space="preserve"> 学士学位论文抽检结果的使用。</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（一）抽检结果以适当方式向社会公开。</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（二）对连续</w:t>
      </w:r>
      <w:r>
        <w:rPr>
          <w:rFonts w:ascii="Times New Roman" w:hAnsi="Times New Roman" w:eastAsia="仿宋_GB2312" w:cs="Times New Roman"/>
          <w:sz w:val="32"/>
          <w:szCs w:val="32"/>
        </w:rPr>
        <w:t>2</w:t>
      </w:r>
      <w:r>
        <w:rPr>
          <w:rFonts w:hint="eastAsia" w:ascii="仿宋_GB2312" w:eastAsia="仿宋_GB2312"/>
          <w:sz w:val="32"/>
          <w:szCs w:val="32"/>
        </w:rPr>
        <w:t>年均有“存在问题学位论文”，且比例较高或篇数较多的学位授予单位，省级教育行政部门应在全省范围内予以通报，减少其招生计划，并进行质量约谈，提出整改要求。</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（三）对连续多年抽检存在问题较多的本科专业，经整改仍无法达到要求者，视为不能保证培养质量，省级教育行政部门应依据有关规定责令其暂停招生。</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（四）对涉嫌存在抄袭、剽窃、伪造、篡改、买卖、代写等学术不端行为的学士学位论文，学位授予单位应按照相关程序进行调查核实，对已查实的应依法撤销已授予学位，并注销学位证书。</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（五）抽检结果将作为本科教育教学评估、</w:t>
      </w:r>
      <w:r>
        <w:rPr>
          <w:rFonts w:hint="eastAsia" w:ascii="仿宋_GB2312" w:hAnsi="仿宋_GB2312" w:eastAsia="仿宋_GB2312" w:cs="仿宋_GB2312"/>
          <w:sz w:val="32"/>
          <w:szCs w:val="32"/>
        </w:rPr>
        <w:t>一流本科专业建设</w:t>
      </w:r>
      <w:r>
        <w:rPr>
          <w:rFonts w:hint="eastAsia" w:ascii="仿宋_GB2312" w:eastAsia="仿宋_GB2312"/>
          <w:sz w:val="32"/>
          <w:szCs w:val="32"/>
        </w:rPr>
        <w:t>、本科专业认证、招生计划以及专业建设经费投入等教育资源配置的重要参考依据。</w:t>
      </w:r>
    </w:p>
    <w:p>
      <w:pPr>
        <w:spacing w:beforeLines="50" w:line="560" w:lineRule="exact"/>
        <w:jc w:val="center"/>
        <w:rPr>
          <w:rFonts w:ascii="黑体" w:hAnsi="黑体" w:eastAsia="黑体"/>
          <w:sz w:val="32"/>
          <w:szCs w:val="32"/>
        </w:rPr>
      </w:pPr>
      <w:r>
        <w:rPr>
          <w:rFonts w:hint="eastAsia" w:ascii="黑体" w:hAnsi="黑体" w:eastAsia="黑体"/>
          <w:sz w:val="32"/>
          <w:szCs w:val="32"/>
        </w:rPr>
        <w:t>第五章 监督与保障</w:t>
      </w:r>
    </w:p>
    <w:p>
      <w:pPr>
        <w:spacing w:line="560" w:lineRule="exact"/>
        <w:ind w:firstLine="640" w:firstLineChars="200"/>
        <w:rPr>
          <w:rFonts w:ascii="仿宋_GB2312" w:eastAsia="仿宋_GB2312"/>
          <w:b/>
          <w:sz w:val="32"/>
          <w:szCs w:val="32"/>
        </w:rPr>
      </w:pPr>
      <w:r>
        <w:rPr>
          <w:rFonts w:hint="eastAsia" w:ascii="仿宋_GB2312" w:eastAsia="仿宋_GB2312"/>
          <w:b/>
          <w:sz w:val="32"/>
          <w:szCs w:val="32"/>
        </w:rPr>
        <w:t xml:space="preserve">第十四条（监督检查） </w:t>
      </w:r>
      <w:r>
        <w:rPr>
          <w:rFonts w:hint="eastAsia" w:ascii="仿宋_GB2312" w:eastAsia="仿宋_GB2312"/>
          <w:sz w:val="32"/>
          <w:szCs w:val="32"/>
        </w:rPr>
        <w:t>国务院教育督导委员会办公室定期对各省学士学位论文抽检工作情况开展监督检查，并将有关工作情况纳入省级人民政府履行教育职责评价。</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 xml:space="preserve">第十五条（经费保障） </w:t>
      </w:r>
      <w:r>
        <w:rPr>
          <w:rFonts w:hint="eastAsia" w:ascii="仿宋_GB2312" w:eastAsia="仿宋_GB2312"/>
          <w:sz w:val="32"/>
          <w:szCs w:val="32"/>
        </w:rPr>
        <w:t>省级教育行政部门应保障学士学位论文抽检工作经费，列入年度工作预算，确保抽检工作顺利开展。</w:t>
      </w:r>
    </w:p>
    <w:p>
      <w:pPr>
        <w:spacing w:line="560" w:lineRule="exact"/>
        <w:ind w:firstLine="640" w:firstLineChars="200"/>
        <w:rPr>
          <w:rFonts w:ascii="仿宋_GB2312" w:eastAsia="仿宋_GB2312"/>
          <w:b/>
          <w:sz w:val="32"/>
          <w:szCs w:val="32"/>
        </w:rPr>
      </w:pPr>
      <w:r>
        <w:rPr>
          <w:rFonts w:hint="eastAsia" w:ascii="仿宋_GB2312" w:eastAsia="仿宋_GB2312"/>
          <w:b/>
          <w:sz w:val="32"/>
          <w:szCs w:val="32"/>
        </w:rPr>
        <w:t xml:space="preserve">第十六条（配合落实） </w:t>
      </w:r>
      <w:r>
        <w:rPr>
          <w:rFonts w:hint="eastAsia" w:ascii="仿宋_GB2312" w:eastAsia="仿宋_GB2312"/>
          <w:sz w:val="32"/>
          <w:szCs w:val="32"/>
        </w:rPr>
        <w:t>学位授予单位应按照所在地省级教育行政部门的有关要求，积极配合学士学位论文抽检工作，准确完整地提供学士学位论文、学位授予信息等材料。</w:t>
      </w:r>
    </w:p>
    <w:p>
      <w:pPr>
        <w:spacing w:beforeLines="50" w:line="560" w:lineRule="exact"/>
        <w:jc w:val="center"/>
        <w:rPr>
          <w:rFonts w:ascii="黑体" w:hAnsi="黑体" w:eastAsia="黑体"/>
          <w:sz w:val="32"/>
          <w:szCs w:val="32"/>
        </w:rPr>
      </w:pPr>
      <w:r>
        <w:rPr>
          <w:rFonts w:hint="eastAsia" w:ascii="黑体" w:hAnsi="黑体" w:eastAsia="黑体"/>
          <w:sz w:val="32"/>
          <w:szCs w:val="32"/>
        </w:rPr>
        <w:t>第六章 附则</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第十七条（各地细化）</w:t>
      </w:r>
      <w:r>
        <w:rPr>
          <w:rFonts w:hint="eastAsia" w:ascii="仿宋_GB2312" w:eastAsia="仿宋_GB2312"/>
          <w:sz w:val="32"/>
          <w:szCs w:val="32"/>
        </w:rPr>
        <w:t xml:space="preserve"> 省级教育行政部门要参照本办法，结合地方实际，制定本省（区、市）学士学位论文抽检工作实施细则，并报国务院教育督导委员会办公室备案。</w:t>
      </w:r>
    </w:p>
    <w:p>
      <w:pPr>
        <w:spacing w:line="560" w:lineRule="exact"/>
        <w:ind w:firstLine="640" w:firstLineChars="200"/>
        <w:rPr>
          <w:rFonts w:ascii="仿宋_GB2312" w:eastAsia="仿宋_GB2312"/>
          <w:sz w:val="32"/>
          <w:szCs w:val="32"/>
        </w:rPr>
      </w:pPr>
      <w:r>
        <w:rPr>
          <w:rFonts w:hint="eastAsia" w:ascii="仿宋_GB2312" w:eastAsia="仿宋_GB2312"/>
          <w:b/>
          <w:sz w:val="32"/>
          <w:szCs w:val="32"/>
        </w:rPr>
        <w:t>第十八条（办法解释）</w:t>
      </w:r>
      <w:r>
        <w:rPr>
          <w:rFonts w:hint="eastAsia" w:ascii="仿宋_GB2312" w:eastAsia="仿宋_GB2312"/>
          <w:sz w:val="32"/>
          <w:szCs w:val="32"/>
        </w:rPr>
        <w:t xml:space="preserve"> 本办法由国务院教育督导委员会办公室负责解释。</w:t>
      </w:r>
    </w:p>
    <w:p>
      <w:pPr>
        <w:spacing w:line="560" w:lineRule="exact"/>
        <w:ind w:firstLine="640" w:firstLineChars="200"/>
        <w:rPr>
          <w:rFonts w:ascii="Times New Roman" w:hAnsi="Times New Roman" w:eastAsia="仿宋_GB2312" w:cs="Times New Roman"/>
          <w:sz w:val="32"/>
          <w:szCs w:val="32"/>
        </w:rPr>
      </w:pPr>
      <w:r>
        <w:rPr>
          <w:rFonts w:ascii="仿宋_GB2312" w:eastAsia="仿宋_GB2312"/>
          <w:b/>
          <w:sz w:val="32"/>
          <w:szCs w:val="32"/>
        </w:rPr>
        <w:t>第</w:t>
      </w:r>
      <w:r>
        <w:rPr>
          <w:rFonts w:hint="eastAsia" w:ascii="仿宋_GB2312" w:eastAsia="仿宋_GB2312"/>
          <w:b/>
          <w:sz w:val="32"/>
          <w:szCs w:val="32"/>
        </w:rPr>
        <w:t>十九</w:t>
      </w:r>
      <w:r>
        <w:rPr>
          <w:rFonts w:ascii="仿宋_GB2312" w:eastAsia="仿宋_GB2312"/>
          <w:b/>
          <w:sz w:val="32"/>
          <w:szCs w:val="32"/>
        </w:rPr>
        <w:t>条</w:t>
      </w:r>
      <w:r>
        <w:rPr>
          <w:rFonts w:hint="eastAsia" w:ascii="仿宋_GB2312" w:eastAsia="仿宋_GB2312"/>
          <w:b/>
          <w:sz w:val="32"/>
          <w:szCs w:val="32"/>
        </w:rPr>
        <w:t>（实施时间）</w:t>
      </w:r>
      <w:r>
        <w:rPr>
          <w:rFonts w:ascii="仿宋_GB2312" w:eastAsia="仿宋_GB2312"/>
          <w:b/>
          <w:sz w:val="32"/>
          <w:szCs w:val="32"/>
        </w:rPr>
        <w:t xml:space="preserve"> </w:t>
      </w:r>
      <w:r>
        <w:rPr>
          <w:rFonts w:ascii="Times New Roman" w:hAnsi="Times New Roman" w:eastAsia="仿宋_GB2312" w:cs="Times New Roman"/>
          <w:sz w:val="32"/>
          <w:szCs w:val="32"/>
        </w:rPr>
        <w:t>本办法自2020年 月 日起施行。</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hint="eastAsia" w:ascii="Times New Roman" w:hAnsi="Times New Roman" w:eastAsia="仿宋_GB2312" w:cs="Times New Roman"/>
          <w:sz w:val="32"/>
          <w:szCs w:val="32"/>
        </w:rPr>
      </w:pPr>
      <w:bookmarkStart w:id="1" w:name="_GoBack"/>
      <w:bookmarkEnd w:id="1"/>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1" w:usb1="080E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rPr>
      <w:t>4</w:t>
    </w:r>
    <w:r>
      <w:rPr>
        <w:rFonts w:ascii="Times New Roman" w:hAnsi="Times New Roman" w:cs="Times New Roman"/>
        <w:sz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character" w:default="1" w:styleId="5">
    <w:name w:val="Default Paragraph Font"/>
    <w:unhideWhenUsed/>
    <w:uiPriority w:val="1"/>
  </w:style>
  <w:style w:type="paragraph" w:styleId="2">
    <w:name w:val="Balloon Text"/>
    <w:basedOn w:val="1"/>
    <w:link w:val="8"/>
    <w:semiHidden/>
    <w:unhideWhenUsed/>
    <w:uiPriority w:val="99"/>
    <w:rPr>
      <w:sz w:val="18"/>
      <w:szCs w:val="18"/>
    </w:rPr>
  </w:style>
  <w:style w:type="paragraph" w:styleId="3">
    <w:name w:val="footer"/>
    <w:basedOn w:val="1"/>
    <w:link w:val="7"/>
    <w:unhideWhenUsed/>
    <w:uiPriority w:val="99"/>
    <w:pPr>
      <w:tabs>
        <w:tab w:val="center" w:pos="4153"/>
        <w:tab w:val="right" w:pos="8306"/>
      </w:tabs>
      <w:snapToGrid w:val="0"/>
      <w:jc w:val="left"/>
    </w:pPr>
    <w:rPr>
      <w:sz w:val="18"/>
      <w:szCs w:val="18"/>
    </w:rPr>
  </w:style>
  <w:style w:type="paragraph" w:styleId="4">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4"/>
    <w:uiPriority w:val="99"/>
    <w:rPr>
      <w:sz w:val="18"/>
      <w:szCs w:val="18"/>
    </w:rPr>
  </w:style>
  <w:style w:type="character" w:customStyle="1" w:styleId="7">
    <w:name w:val="页脚 字符"/>
    <w:basedOn w:val="5"/>
    <w:link w:val="3"/>
    <w:uiPriority w:val="99"/>
    <w:rPr>
      <w:sz w:val="18"/>
      <w:szCs w:val="18"/>
    </w:rPr>
  </w:style>
  <w:style w:type="character" w:customStyle="1" w:styleId="8">
    <w:name w:val="批注框文本 字符"/>
    <w:basedOn w:val="5"/>
    <w:link w:val="2"/>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323</Words>
  <Characters>1845</Characters>
  <Lines>15</Lines>
  <Paragraphs>4</Paragraphs>
  <TotalTime>0</TotalTime>
  <ScaleCrop>false</ScaleCrop>
  <LinksUpToDate>false</LinksUpToDate>
  <CharactersWithSpaces>0</CharactersWithSpaces>
  <Application>WPS Office 个人版_9.1.0.4715_{F1E327BC-269C-435d-A152-05C5408002CA}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2020-08-19T01:36:00Z</dcterms:created>
  <dc:creator>tjub27401195@126.com</dc:creator>
  <cp:lastModifiedBy>lenovo</cp:lastModifiedBy>
  <cp:lastPrinted>2020-08-05T10:32:00Z</cp:lastPrinted>
  <dcterms:modified xsi:type="dcterms:W3CDTF">2020-10-13T07:54:08Z</dcterms:modified>
  <dc:title>学士学位论文（毕业设计）抽检办法（试行）</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